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EE2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8E898D4" w14:textId="77777777" w:rsidTr="005F7F7E">
        <w:tc>
          <w:tcPr>
            <w:tcW w:w="2438" w:type="dxa"/>
            <w:shd w:val="clear" w:color="auto" w:fill="auto"/>
          </w:tcPr>
          <w:p w14:paraId="62AA914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49450B2" w14:textId="77777777" w:rsidR="00F445B1" w:rsidRPr="00F95BC9" w:rsidRDefault="00DB7AD7" w:rsidP="004A6D2F">
            <w:pPr>
              <w:rPr>
                <w:rStyle w:val="Firstpagetablebold"/>
              </w:rPr>
            </w:pPr>
            <w:r>
              <w:rPr>
                <w:rStyle w:val="Firstpagetablebold"/>
              </w:rPr>
              <w:t>Cabinet</w:t>
            </w:r>
          </w:p>
        </w:tc>
      </w:tr>
      <w:tr w:rsidR="00CE544A" w:rsidRPr="00975B07" w14:paraId="36DDAA68" w14:textId="77777777" w:rsidTr="005F7F7E">
        <w:tc>
          <w:tcPr>
            <w:tcW w:w="2438" w:type="dxa"/>
            <w:shd w:val="clear" w:color="auto" w:fill="auto"/>
          </w:tcPr>
          <w:p w14:paraId="5E3BC08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555C7C5" w14:textId="77777777" w:rsidR="00F445B1" w:rsidRPr="001356F1" w:rsidRDefault="005A7C0F" w:rsidP="007B5CA2">
            <w:pPr>
              <w:rPr>
                <w:b/>
              </w:rPr>
            </w:pPr>
            <w:r>
              <w:rPr>
                <w:rStyle w:val="Firstpagetablebold"/>
              </w:rPr>
              <w:t>14 December 2022</w:t>
            </w:r>
          </w:p>
        </w:tc>
      </w:tr>
      <w:tr w:rsidR="00CE544A" w:rsidRPr="00975B07" w14:paraId="695ACFB4" w14:textId="77777777" w:rsidTr="005F7F7E">
        <w:tc>
          <w:tcPr>
            <w:tcW w:w="2438" w:type="dxa"/>
            <w:shd w:val="clear" w:color="auto" w:fill="auto"/>
          </w:tcPr>
          <w:p w14:paraId="70DF297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C462088" w14:textId="77777777" w:rsidR="00F445B1" w:rsidRPr="001356F1" w:rsidRDefault="00E65075" w:rsidP="00E65075">
            <w:pPr>
              <w:rPr>
                <w:rStyle w:val="Firstpagetablebold"/>
              </w:rPr>
            </w:pPr>
            <w:r>
              <w:rPr>
                <w:rStyle w:val="Firstpagetablebold"/>
              </w:rPr>
              <w:t xml:space="preserve">The Head of Community Services </w:t>
            </w:r>
          </w:p>
        </w:tc>
      </w:tr>
      <w:tr w:rsidR="00CE544A" w:rsidRPr="00975B07" w14:paraId="0D417C9C" w14:textId="77777777" w:rsidTr="005F7F7E">
        <w:tc>
          <w:tcPr>
            <w:tcW w:w="2438" w:type="dxa"/>
            <w:shd w:val="clear" w:color="auto" w:fill="auto"/>
          </w:tcPr>
          <w:p w14:paraId="5BDF257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AAD812E" w14:textId="77777777" w:rsidR="00F445B1" w:rsidRPr="001356F1" w:rsidRDefault="00312267" w:rsidP="00312267">
            <w:pPr>
              <w:rPr>
                <w:rStyle w:val="Firstpagetablebold"/>
              </w:rPr>
            </w:pPr>
            <w:r w:rsidRPr="00312267">
              <w:rPr>
                <w:b/>
              </w:rPr>
              <w:t xml:space="preserve">Grant Allocations to Community &amp; Voluntary Organisations 2023/24 </w:t>
            </w:r>
          </w:p>
        </w:tc>
      </w:tr>
    </w:tbl>
    <w:p w14:paraId="2456174F" w14:textId="77777777" w:rsidR="00312267" w:rsidRDefault="00312267"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5915099C" w14:textId="77777777" w:rsidTr="0080749A">
        <w:tc>
          <w:tcPr>
            <w:tcW w:w="8845" w:type="dxa"/>
            <w:gridSpan w:val="2"/>
            <w:tcBorders>
              <w:bottom w:val="single" w:sz="8" w:space="0" w:color="000000"/>
            </w:tcBorders>
            <w:hideMark/>
          </w:tcPr>
          <w:p w14:paraId="15C8F2B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28879BA" w14:textId="77777777" w:rsidTr="0080749A">
        <w:tc>
          <w:tcPr>
            <w:tcW w:w="2438" w:type="dxa"/>
            <w:tcBorders>
              <w:top w:val="single" w:sz="8" w:space="0" w:color="000000"/>
              <w:left w:val="single" w:sz="8" w:space="0" w:color="000000"/>
              <w:bottom w:val="nil"/>
              <w:right w:val="nil"/>
            </w:tcBorders>
            <w:hideMark/>
          </w:tcPr>
          <w:p w14:paraId="171E946B"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164C939" w14:textId="0CFD006F" w:rsidR="00312267" w:rsidRPr="001356F1" w:rsidRDefault="001752D7" w:rsidP="009B5949">
            <w:pPr>
              <w:ind w:left="52" w:hanging="28"/>
            </w:pPr>
            <w:r>
              <w:t>To seek approval of</w:t>
            </w:r>
            <w:r w:rsidR="00312267">
              <w:t xml:space="preserve"> the criteria and weighting for assessing the 2023/24 grant allocations</w:t>
            </w:r>
            <w:r w:rsidR="009B5949">
              <w:t>, and t</w:t>
            </w:r>
            <w:r w:rsidR="00312267">
              <w:t xml:space="preserve">o give an interim update </w:t>
            </w:r>
            <w:r w:rsidR="00B30709">
              <w:t xml:space="preserve">showing examples of </w:t>
            </w:r>
            <w:r w:rsidR="00312267">
              <w:t xml:space="preserve">the </w:t>
            </w:r>
            <w:r w:rsidR="00EC1A23">
              <w:t>impact of the Community Impact F</w:t>
            </w:r>
            <w:r w:rsidR="00312267">
              <w:t>und grants to date</w:t>
            </w:r>
            <w:r w:rsidR="009B5949">
              <w:t>.</w:t>
            </w:r>
          </w:p>
        </w:tc>
      </w:tr>
      <w:tr w:rsidR="00D5547E" w14:paraId="7C1A16F2" w14:textId="77777777" w:rsidTr="0080749A">
        <w:tc>
          <w:tcPr>
            <w:tcW w:w="2438" w:type="dxa"/>
            <w:tcBorders>
              <w:top w:val="nil"/>
              <w:left w:val="single" w:sz="8" w:space="0" w:color="000000"/>
              <w:bottom w:val="nil"/>
              <w:right w:val="nil"/>
            </w:tcBorders>
            <w:hideMark/>
          </w:tcPr>
          <w:p w14:paraId="78B2D59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FB92053" w14:textId="77777777" w:rsidR="00D5547E" w:rsidRPr="001356F1" w:rsidRDefault="00C62F7E" w:rsidP="00312267">
            <w:r>
              <w:t>Yes</w:t>
            </w:r>
          </w:p>
        </w:tc>
      </w:tr>
      <w:tr w:rsidR="00D5547E" w14:paraId="6EFC80FB" w14:textId="77777777" w:rsidTr="0080749A">
        <w:tc>
          <w:tcPr>
            <w:tcW w:w="2438" w:type="dxa"/>
            <w:tcBorders>
              <w:top w:val="nil"/>
              <w:left w:val="single" w:sz="8" w:space="0" w:color="000000"/>
              <w:bottom w:val="nil"/>
              <w:right w:val="nil"/>
            </w:tcBorders>
            <w:hideMark/>
          </w:tcPr>
          <w:p w14:paraId="0FEF396E"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677AD9A5" w14:textId="77777777" w:rsidR="00D5547E" w:rsidRPr="001356F1" w:rsidRDefault="00312267" w:rsidP="00312267">
            <w:r>
              <w:t>Cllr Shaista Aziz</w:t>
            </w:r>
            <w:r w:rsidR="00D5547E" w:rsidRPr="001356F1">
              <w:t xml:space="preserve">, </w:t>
            </w:r>
            <w:r>
              <w:t>Cabinet Member for Inclusive Communities and Culture</w:t>
            </w:r>
          </w:p>
        </w:tc>
      </w:tr>
      <w:tr w:rsidR="0080749A" w14:paraId="191B98E0" w14:textId="77777777" w:rsidTr="0097170F">
        <w:tc>
          <w:tcPr>
            <w:tcW w:w="2438" w:type="dxa"/>
            <w:tcBorders>
              <w:top w:val="nil"/>
              <w:left w:val="single" w:sz="8" w:space="0" w:color="000000"/>
              <w:bottom w:val="nil"/>
              <w:right w:val="nil"/>
            </w:tcBorders>
          </w:tcPr>
          <w:p w14:paraId="67ED088E"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B6E14AB" w14:textId="77777777" w:rsidR="0080749A" w:rsidRPr="001356F1" w:rsidRDefault="00F20A73" w:rsidP="005F7F7E">
            <w:r>
              <w:t>Support Thriving Communities</w:t>
            </w:r>
          </w:p>
        </w:tc>
      </w:tr>
      <w:tr w:rsidR="00D5547E" w14:paraId="39530D09" w14:textId="77777777" w:rsidTr="0097170F">
        <w:tc>
          <w:tcPr>
            <w:tcW w:w="2438" w:type="dxa"/>
            <w:tcBorders>
              <w:top w:val="nil"/>
              <w:left w:val="single" w:sz="8" w:space="0" w:color="000000"/>
              <w:bottom w:val="single" w:sz="4" w:space="0" w:color="auto"/>
              <w:right w:val="nil"/>
            </w:tcBorders>
            <w:hideMark/>
          </w:tcPr>
          <w:p w14:paraId="52C4780E"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563E9125" w14:textId="77777777" w:rsidR="00D5547E" w:rsidRPr="001356F1" w:rsidRDefault="00F20A73" w:rsidP="005F7F7E">
            <w:r w:rsidRPr="00E65075">
              <w:t>Thriving Communities Strategy</w:t>
            </w:r>
          </w:p>
        </w:tc>
      </w:tr>
    </w:tbl>
    <w:p w14:paraId="4227EEE2" w14:textId="77777777" w:rsidR="00CE544A" w:rsidRPr="00792115" w:rsidRDefault="00CE544A" w:rsidP="004A6D2F">
      <w:pPr>
        <w:rPr>
          <w:sz w:val="1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658EE8D0" w14:textId="77777777" w:rsidTr="00FB6E8F">
        <w:trPr>
          <w:trHeight w:val="413"/>
        </w:trPr>
        <w:tc>
          <w:tcPr>
            <w:tcW w:w="8845" w:type="dxa"/>
            <w:gridSpan w:val="2"/>
            <w:tcBorders>
              <w:bottom w:val="single" w:sz="8" w:space="0" w:color="000000"/>
            </w:tcBorders>
          </w:tcPr>
          <w:p w14:paraId="11041B10" w14:textId="5038570E" w:rsidR="0097170F" w:rsidRPr="00975B07" w:rsidRDefault="009B5949" w:rsidP="00FB6E8F">
            <w:r>
              <w:rPr>
                <w:rStyle w:val="Firstpagetablebold"/>
              </w:rPr>
              <w:t>Recommendations</w:t>
            </w:r>
            <w:r w:rsidR="0097170F">
              <w:rPr>
                <w:rStyle w:val="Firstpagetablebold"/>
              </w:rPr>
              <w:t>:</w:t>
            </w:r>
            <w:r>
              <w:rPr>
                <w:rStyle w:val="Firstpagetablebold"/>
              </w:rPr>
              <w:t xml:space="preserve"> </w:t>
            </w:r>
            <w:r w:rsidR="0097170F" w:rsidRPr="008954DF">
              <w:rPr>
                <w:rStyle w:val="Firstpagetablebold"/>
                <w:b w:val="0"/>
              </w:rPr>
              <w:t>That Cabinet resolves to:</w:t>
            </w:r>
          </w:p>
        </w:tc>
      </w:tr>
      <w:tr w:rsidR="0097170F" w:rsidRPr="00975B07" w14:paraId="7B85C676" w14:textId="77777777" w:rsidTr="00FB6E8F">
        <w:trPr>
          <w:trHeight w:val="283"/>
        </w:trPr>
        <w:tc>
          <w:tcPr>
            <w:tcW w:w="426" w:type="dxa"/>
            <w:tcBorders>
              <w:top w:val="single" w:sz="8" w:space="0" w:color="000000"/>
              <w:left w:val="single" w:sz="8" w:space="0" w:color="000000"/>
              <w:bottom w:val="nil"/>
              <w:right w:val="nil"/>
            </w:tcBorders>
          </w:tcPr>
          <w:p w14:paraId="36864FA6" w14:textId="77777777" w:rsidR="0097170F" w:rsidRPr="003A332E" w:rsidRDefault="0097170F" w:rsidP="00FB6E8F">
            <w:r w:rsidRPr="003A332E">
              <w:t>1.</w:t>
            </w:r>
          </w:p>
        </w:tc>
        <w:tc>
          <w:tcPr>
            <w:tcW w:w="8419" w:type="dxa"/>
            <w:tcBorders>
              <w:top w:val="single" w:sz="8" w:space="0" w:color="000000"/>
              <w:left w:val="nil"/>
              <w:bottom w:val="nil"/>
              <w:right w:val="single" w:sz="8" w:space="0" w:color="000000"/>
            </w:tcBorders>
            <w:shd w:val="clear" w:color="auto" w:fill="auto"/>
          </w:tcPr>
          <w:p w14:paraId="59AA7635" w14:textId="293957FA" w:rsidR="0097170F" w:rsidRPr="003A332E" w:rsidRDefault="006D142F" w:rsidP="00ED64DC">
            <w:r>
              <w:rPr>
                <w:rStyle w:val="Firstpagetablebold"/>
              </w:rPr>
              <w:t>Note</w:t>
            </w:r>
            <w:r w:rsidR="009C498B">
              <w:t xml:space="preserve"> </w:t>
            </w:r>
            <w:r>
              <w:t>the implementation of the new Oxford Community Impac</w:t>
            </w:r>
            <w:bookmarkStart w:id="0" w:name="_GoBack"/>
            <w:bookmarkEnd w:id="0"/>
            <w:r>
              <w:t>t Fund agreed by Cabinet on 15 December 2021 as part of the strategic grants review</w:t>
            </w:r>
            <w:r w:rsidR="009322B1">
              <w:t>; and</w:t>
            </w:r>
          </w:p>
        </w:tc>
      </w:tr>
      <w:tr w:rsidR="0097170F" w:rsidRPr="00975B07" w14:paraId="378CD84C" w14:textId="77777777" w:rsidTr="00FB6E8F">
        <w:trPr>
          <w:trHeight w:val="283"/>
        </w:trPr>
        <w:tc>
          <w:tcPr>
            <w:tcW w:w="426" w:type="dxa"/>
            <w:tcBorders>
              <w:top w:val="nil"/>
              <w:left w:val="single" w:sz="8" w:space="0" w:color="000000"/>
              <w:bottom w:val="single" w:sz="8" w:space="0" w:color="000000"/>
              <w:right w:val="nil"/>
            </w:tcBorders>
          </w:tcPr>
          <w:p w14:paraId="561B9CB2" w14:textId="77777777" w:rsidR="0097170F" w:rsidRPr="00C62F7E" w:rsidRDefault="003A332E" w:rsidP="00FB6E8F">
            <w:r>
              <w:t>2</w:t>
            </w:r>
            <w:r w:rsidR="0097170F" w:rsidRPr="00C62F7E">
              <w:t>.</w:t>
            </w:r>
          </w:p>
        </w:tc>
        <w:tc>
          <w:tcPr>
            <w:tcW w:w="8419" w:type="dxa"/>
            <w:tcBorders>
              <w:top w:val="nil"/>
              <w:left w:val="nil"/>
              <w:bottom w:val="single" w:sz="8" w:space="0" w:color="000000"/>
              <w:right w:val="single" w:sz="8" w:space="0" w:color="000000"/>
            </w:tcBorders>
            <w:shd w:val="clear" w:color="auto" w:fill="auto"/>
          </w:tcPr>
          <w:p w14:paraId="7C572E01" w14:textId="24E74953" w:rsidR="00A71F04" w:rsidRPr="00C62F7E" w:rsidRDefault="003A332E" w:rsidP="00EC5F52">
            <w:r>
              <w:rPr>
                <w:rStyle w:val="Firstpagetablebold"/>
              </w:rPr>
              <w:t>Recommend</w:t>
            </w:r>
            <w:r w:rsidRPr="003A332E">
              <w:t xml:space="preserve"> that applicants</w:t>
            </w:r>
            <w:r w:rsidR="009C498B">
              <w:t xml:space="preserve"> are requested to</w:t>
            </w:r>
            <w:r w:rsidRPr="003A332E">
              <w:t xml:space="preserve"> provide information regarding </w:t>
            </w:r>
            <w:r w:rsidR="00EC5F52">
              <w:t xml:space="preserve">the demographics of their board/staff/volunteer teams </w:t>
            </w:r>
            <w:r w:rsidRPr="003A332E">
              <w:t xml:space="preserve">and their response to the cost of living crisis </w:t>
            </w:r>
            <w:r w:rsidR="00A71F04">
              <w:t xml:space="preserve">in a voluntary capacity as part of project monitoring for grants awarded in 2022-23 and </w:t>
            </w:r>
            <w:r w:rsidR="009C498B">
              <w:t xml:space="preserve">to </w:t>
            </w:r>
            <w:r w:rsidR="00A71F04">
              <w:t>make this obligatory for grants awarded in 2023-24</w:t>
            </w:r>
            <w:r w:rsidR="009B5949">
              <w:t>.</w:t>
            </w:r>
          </w:p>
        </w:tc>
      </w:tr>
    </w:tbl>
    <w:p w14:paraId="31529FDF" w14:textId="77777777" w:rsidR="0097170F" w:rsidRPr="00792115" w:rsidRDefault="0097170F" w:rsidP="004A6D2F">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050CAA8" w14:textId="77777777" w:rsidTr="00CF0D4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9CBF3B2" w14:textId="77777777" w:rsidR="00966D42" w:rsidRPr="00975B07" w:rsidRDefault="00966D42" w:rsidP="00263EA3">
            <w:pPr>
              <w:jc w:val="center"/>
            </w:pPr>
            <w:r w:rsidRPr="00745BF0">
              <w:rPr>
                <w:rStyle w:val="Firstpagetablebold"/>
              </w:rPr>
              <w:t>Appendices</w:t>
            </w:r>
          </w:p>
        </w:tc>
      </w:tr>
      <w:tr w:rsidR="00ED5860" w:rsidRPr="00975B07" w14:paraId="584D1F6A" w14:textId="77777777" w:rsidTr="00CF0D48">
        <w:tc>
          <w:tcPr>
            <w:tcW w:w="2438" w:type="dxa"/>
            <w:tcBorders>
              <w:top w:val="single" w:sz="8" w:space="0" w:color="000000"/>
              <w:left w:val="single" w:sz="8" w:space="0" w:color="000000"/>
              <w:bottom w:val="nil"/>
              <w:right w:val="nil"/>
            </w:tcBorders>
            <w:shd w:val="clear" w:color="auto" w:fill="auto"/>
          </w:tcPr>
          <w:p w14:paraId="267B6474"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66C96C50" w14:textId="77777777" w:rsidR="00ED5860" w:rsidRPr="001356F1" w:rsidRDefault="009B7C2C" w:rsidP="009B7C2C">
            <w:r w:rsidRPr="009B7C2C">
              <w:t>Oxford Community Impact Fund Grant Allocations to Community Groups</w:t>
            </w:r>
          </w:p>
        </w:tc>
      </w:tr>
      <w:tr w:rsidR="00CF0D48" w:rsidRPr="00975B07" w14:paraId="55A063F9" w14:textId="77777777" w:rsidTr="00CF0D48">
        <w:tc>
          <w:tcPr>
            <w:tcW w:w="2438" w:type="dxa"/>
            <w:tcBorders>
              <w:top w:val="nil"/>
              <w:left w:val="single" w:sz="8" w:space="0" w:color="000000"/>
              <w:bottom w:val="nil"/>
              <w:right w:val="nil"/>
            </w:tcBorders>
            <w:shd w:val="clear" w:color="auto" w:fill="auto"/>
          </w:tcPr>
          <w:p w14:paraId="21BB03FF" w14:textId="77777777" w:rsidR="00CF0D48" w:rsidRPr="00975B07" w:rsidRDefault="00CF0D48" w:rsidP="004A6D2F">
            <w:r>
              <w:t>Appendix 2</w:t>
            </w:r>
          </w:p>
        </w:tc>
        <w:tc>
          <w:tcPr>
            <w:tcW w:w="6406" w:type="dxa"/>
            <w:tcBorders>
              <w:top w:val="nil"/>
              <w:left w:val="nil"/>
              <w:bottom w:val="nil"/>
              <w:right w:val="single" w:sz="8" w:space="0" w:color="000000"/>
            </w:tcBorders>
          </w:tcPr>
          <w:p w14:paraId="1E9502FD" w14:textId="77777777" w:rsidR="00CF0D48" w:rsidRPr="009B7C2C" w:rsidRDefault="00741C91" w:rsidP="00EA1091">
            <w:r>
              <w:t>Charts indicating</w:t>
            </w:r>
            <w:r w:rsidRPr="00741C91">
              <w:t xml:space="preserve"> the communities of identity, geography and interest that funded project</w:t>
            </w:r>
            <w:r w:rsidR="00EA1091">
              <w:t>s</w:t>
            </w:r>
            <w:r w:rsidRPr="00741C91">
              <w:t xml:space="preserve"> intend to reach</w:t>
            </w:r>
          </w:p>
        </w:tc>
      </w:tr>
      <w:tr w:rsidR="00741C91" w:rsidRPr="00975B07" w14:paraId="1B41EA9A" w14:textId="77777777" w:rsidTr="00530A9E">
        <w:tc>
          <w:tcPr>
            <w:tcW w:w="2438" w:type="dxa"/>
            <w:tcBorders>
              <w:top w:val="nil"/>
              <w:left w:val="single" w:sz="8" w:space="0" w:color="000000"/>
              <w:bottom w:val="nil"/>
              <w:right w:val="nil"/>
            </w:tcBorders>
            <w:shd w:val="clear" w:color="auto" w:fill="auto"/>
          </w:tcPr>
          <w:p w14:paraId="05282CEA" w14:textId="77777777" w:rsidR="00741C91" w:rsidRPr="00975B07" w:rsidRDefault="00741C91" w:rsidP="00530A9E">
            <w:r>
              <w:t xml:space="preserve">Appendix </w:t>
            </w:r>
            <w:r w:rsidR="005B2AA7">
              <w:t>3</w:t>
            </w:r>
          </w:p>
        </w:tc>
        <w:tc>
          <w:tcPr>
            <w:tcW w:w="6406" w:type="dxa"/>
            <w:tcBorders>
              <w:top w:val="nil"/>
              <w:left w:val="nil"/>
              <w:bottom w:val="nil"/>
              <w:right w:val="single" w:sz="8" w:space="0" w:color="000000"/>
            </w:tcBorders>
          </w:tcPr>
          <w:p w14:paraId="714FBE3C" w14:textId="77777777" w:rsidR="00741C91" w:rsidRPr="009B7C2C" w:rsidRDefault="00741C91" w:rsidP="00530A9E">
            <w:r w:rsidRPr="00367C2D">
              <w:t>Equalities Impact Assessment</w:t>
            </w:r>
          </w:p>
        </w:tc>
      </w:tr>
      <w:tr w:rsidR="0030208D" w:rsidRPr="00975B07" w14:paraId="5F891ADC" w14:textId="77777777" w:rsidTr="00A46E98">
        <w:tc>
          <w:tcPr>
            <w:tcW w:w="2438" w:type="dxa"/>
            <w:tcBorders>
              <w:top w:val="nil"/>
              <w:left w:val="single" w:sz="8" w:space="0" w:color="000000"/>
              <w:bottom w:val="single" w:sz="8" w:space="0" w:color="000000"/>
              <w:right w:val="nil"/>
            </w:tcBorders>
            <w:shd w:val="clear" w:color="auto" w:fill="auto"/>
          </w:tcPr>
          <w:p w14:paraId="4AD1D183" w14:textId="77777777" w:rsidR="0030208D" w:rsidRPr="00975B07" w:rsidRDefault="0030208D" w:rsidP="004A6D2F">
            <w:r w:rsidRPr="00975B07">
              <w:t xml:space="preserve">Appendix </w:t>
            </w:r>
            <w:r w:rsidR="005B2AA7">
              <w:t>4</w:t>
            </w:r>
          </w:p>
        </w:tc>
        <w:tc>
          <w:tcPr>
            <w:tcW w:w="6406" w:type="dxa"/>
            <w:tcBorders>
              <w:top w:val="nil"/>
              <w:left w:val="nil"/>
              <w:bottom w:val="single" w:sz="8" w:space="0" w:color="000000"/>
              <w:right w:val="single" w:sz="8" w:space="0" w:color="000000"/>
            </w:tcBorders>
          </w:tcPr>
          <w:p w14:paraId="6E5F77F0" w14:textId="77777777" w:rsidR="0030208D" w:rsidRPr="001356F1" w:rsidRDefault="00FD2AB2" w:rsidP="004A6D2F">
            <w:r w:rsidRPr="00367C2D">
              <w:t>Risk Assessment</w:t>
            </w:r>
          </w:p>
        </w:tc>
      </w:tr>
    </w:tbl>
    <w:p w14:paraId="29D860AF"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D01EF97" w14:textId="6A58F60B" w:rsidR="005C65B6" w:rsidRPr="00AD6235" w:rsidRDefault="005C65B6" w:rsidP="005C65B6">
      <w:pPr>
        <w:pStyle w:val="bParagraphtext"/>
      </w:pPr>
      <w:r w:rsidRPr="00AD6235">
        <w:lastRenderedPageBreak/>
        <w:t>Oxford Community Impact Fund (OCIF) was established following a grant review conducted in 2021 in consultation with existing grant recipients</w:t>
      </w:r>
      <w:r w:rsidR="003629C0">
        <w:t xml:space="preserve">, unsuccessful grant applicants, </w:t>
      </w:r>
      <w:r w:rsidR="005742EA">
        <w:t xml:space="preserve">voluntary sector organisations, </w:t>
      </w:r>
      <w:r w:rsidRPr="00AD6235">
        <w:t>other local authorities</w:t>
      </w:r>
      <w:r w:rsidR="003629C0">
        <w:t xml:space="preserve"> and funders</w:t>
      </w:r>
      <w:r w:rsidRPr="00AD6235">
        <w:t xml:space="preserve">. The </w:t>
      </w:r>
      <w:r w:rsidR="00E65075">
        <w:t>review aimed</w:t>
      </w:r>
      <w:r w:rsidRPr="00AD6235">
        <w:t xml:space="preserve"> to find new ways of supporting community groups amidst budget pressures as a result of the pandemic, to make the grant application process easier for everyone to apply, and to align grants with core council priorities.</w:t>
      </w:r>
    </w:p>
    <w:p w14:paraId="7E5161C6" w14:textId="77777777" w:rsidR="005C65B6" w:rsidRPr="00AD6235" w:rsidRDefault="005C65B6" w:rsidP="005C65B6">
      <w:pPr>
        <w:pStyle w:val="bParagraphtext"/>
      </w:pPr>
      <w:r w:rsidRPr="00AD6235">
        <w:t xml:space="preserve">As a result, all the existing community grant funds including </w:t>
      </w:r>
      <w:r w:rsidR="003629C0">
        <w:t xml:space="preserve">the </w:t>
      </w:r>
      <w:r w:rsidRPr="00AD6235">
        <w:t xml:space="preserve">Culture Fund, Green Neighbourhood Scheme, Youth Ambition Fund, Youth Ambition Holiday Activities Fund, Small Grants and Open Bidding were merged into one </w:t>
      </w:r>
      <w:r w:rsidR="00035D4D">
        <w:t>–</w:t>
      </w:r>
      <w:r w:rsidR="00E22ABE">
        <w:t xml:space="preserve">            </w:t>
      </w:r>
      <w:r w:rsidR="00035D4D">
        <w:t xml:space="preserve">Oxford </w:t>
      </w:r>
      <w:r w:rsidRPr="00AD6235">
        <w:t>Community Impact Fund</w:t>
      </w:r>
      <w:r w:rsidR="00DF72BE">
        <w:t xml:space="preserve"> – with a combined budget of £1,515,000</w:t>
      </w:r>
      <w:r w:rsidRPr="00AD6235">
        <w:t xml:space="preserve">. </w:t>
      </w:r>
    </w:p>
    <w:p w14:paraId="1320D4C1" w14:textId="77777777" w:rsidR="00035D4D" w:rsidRPr="00035D4D" w:rsidRDefault="00035D4D" w:rsidP="005C65B6">
      <w:pPr>
        <w:pStyle w:val="bParagraphtext"/>
      </w:pPr>
      <w:r w:rsidRPr="00035D4D">
        <w:t xml:space="preserve">Oxford Community Impact Fund started in April 2022 and comprises </w:t>
      </w:r>
      <w:r w:rsidR="00E65075">
        <w:t xml:space="preserve">four </w:t>
      </w:r>
      <w:r w:rsidRPr="00035D4D">
        <w:t>strands:</w:t>
      </w:r>
    </w:p>
    <w:p w14:paraId="6D8EB246" w14:textId="77777777" w:rsidR="00035D4D" w:rsidRPr="009E34F7" w:rsidRDefault="00035D4D" w:rsidP="00961121">
      <w:pPr>
        <w:pStyle w:val="bParagraphtext"/>
        <w:numPr>
          <w:ilvl w:val="0"/>
          <w:numId w:val="36"/>
        </w:numPr>
      </w:pPr>
      <w:r w:rsidRPr="009E34F7">
        <w:t>Commission</w:t>
      </w:r>
      <w:r w:rsidR="00E65075">
        <w:t xml:space="preserve">ed </w:t>
      </w:r>
      <w:r w:rsidRPr="009E34F7">
        <w:t>services</w:t>
      </w:r>
      <w:r w:rsidR="009E34F7" w:rsidRPr="009E34F7">
        <w:t xml:space="preserve"> </w:t>
      </w:r>
      <w:r w:rsidR="00961121" w:rsidRPr="009E34F7">
        <w:t xml:space="preserve">– </w:t>
      </w:r>
      <w:r w:rsidR="00E65075">
        <w:t>£943k</w:t>
      </w:r>
      <w:r w:rsidR="009E34F7" w:rsidRPr="009E34F7">
        <w:t xml:space="preserve"> per year</w:t>
      </w:r>
      <w:r w:rsidR="0088357D" w:rsidRPr="009E34F7">
        <w:t xml:space="preserve"> </w:t>
      </w:r>
      <w:r w:rsidR="003629C0" w:rsidRPr="009E34F7">
        <w:t>– rough sleeping and single h</w:t>
      </w:r>
      <w:r w:rsidR="00E65075">
        <w:t>omelessness commissioning (£442k</w:t>
      </w:r>
      <w:r w:rsidR="003629C0" w:rsidRPr="009E34F7">
        <w:t xml:space="preserve">); </w:t>
      </w:r>
      <w:r w:rsidR="00E65075">
        <w:t>domestic abuse (£53k</w:t>
      </w:r>
      <w:r w:rsidR="003967BE" w:rsidRPr="009E34F7">
        <w:t>) a</w:t>
      </w:r>
      <w:r w:rsidR="00E65075">
        <w:t>nd advice services (£448k</w:t>
      </w:r>
      <w:r w:rsidR="003967BE" w:rsidRPr="009E34F7">
        <w:t>)</w:t>
      </w:r>
    </w:p>
    <w:p w14:paraId="165A102F" w14:textId="77777777" w:rsidR="00035D4D" w:rsidRPr="00961121" w:rsidRDefault="007A1373" w:rsidP="00CA71F5">
      <w:pPr>
        <w:pStyle w:val="bParagraphtext"/>
        <w:numPr>
          <w:ilvl w:val="0"/>
          <w:numId w:val="36"/>
        </w:numPr>
      </w:pPr>
      <w:r w:rsidRPr="00961121">
        <w:t>S</w:t>
      </w:r>
      <w:r w:rsidR="00035D4D" w:rsidRPr="00961121">
        <w:t>upporting peppercorn rent arrangements</w:t>
      </w:r>
      <w:r w:rsidR="0088357D" w:rsidRPr="00961121">
        <w:t xml:space="preserve"> </w:t>
      </w:r>
      <w:r w:rsidR="00CA71F5">
        <w:t>–</w:t>
      </w:r>
      <w:r w:rsidR="00E65075">
        <w:t xml:space="preserve"> £150k</w:t>
      </w:r>
      <w:r w:rsidR="00961121" w:rsidRPr="00961121">
        <w:t xml:space="preserve"> per year</w:t>
      </w:r>
    </w:p>
    <w:p w14:paraId="182B8C28" w14:textId="77777777" w:rsidR="00035D4D" w:rsidRPr="00DF72BE" w:rsidRDefault="00035D4D" w:rsidP="00DF72BE">
      <w:pPr>
        <w:pStyle w:val="bParagraphtext"/>
        <w:numPr>
          <w:ilvl w:val="0"/>
          <w:numId w:val="36"/>
        </w:numPr>
      </w:pPr>
      <w:r w:rsidRPr="00DF72BE">
        <w:t>Big Ideas grants</w:t>
      </w:r>
      <w:r w:rsidR="00DF72BE" w:rsidRPr="00DF72BE">
        <w:t xml:space="preserve"> </w:t>
      </w:r>
      <w:r w:rsidR="00DF72BE">
        <w:t>–</w:t>
      </w:r>
      <w:r w:rsidR="00E65075">
        <w:t xml:space="preserve"> £338k</w:t>
      </w:r>
      <w:r w:rsidR="00DF72BE" w:rsidRPr="00DF72BE">
        <w:t xml:space="preserve"> per year</w:t>
      </w:r>
      <w:r w:rsidRPr="00DF72BE">
        <w:t xml:space="preserve"> (one round every </w:t>
      </w:r>
      <w:r w:rsidR="00E65075">
        <w:t>three</w:t>
      </w:r>
      <w:r w:rsidRPr="00DF72BE">
        <w:t xml:space="preserve"> years with grant agreements in place for three years) and </w:t>
      </w:r>
    </w:p>
    <w:p w14:paraId="59AC8D08" w14:textId="77777777" w:rsidR="00035D4D" w:rsidRPr="00566B86" w:rsidRDefault="00035D4D" w:rsidP="00CA71F5">
      <w:pPr>
        <w:pStyle w:val="bParagraphtext"/>
        <w:numPr>
          <w:ilvl w:val="0"/>
          <w:numId w:val="36"/>
        </w:numPr>
      </w:pPr>
      <w:r w:rsidRPr="00566B86">
        <w:t xml:space="preserve">Small and Medium Grants </w:t>
      </w:r>
      <w:r w:rsidR="00CA71F5" w:rsidRPr="00566B86">
        <w:t>–</w:t>
      </w:r>
      <w:r w:rsidR="00E65075">
        <w:t xml:space="preserve"> £84k </w:t>
      </w:r>
      <w:r w:rsidR="00DF72BE" w:rsidRPr="00566B86">
        <w:t xml:space="preserve">per year </w:t>
      </w:r>
      <w:r w:rsidRPr="00566B86">
        <w:t>(three rounds each year</w:t>
      </w:r>
      <w:r w:rsidR="00DF72BE" w:rsidRPr="00566B86">
        <w:t xml:space="preserve"> – </w:t>
      </w:r>
      <w:r w:rsidR="00C94F15">
        <w:t xml:space="preserve">  </w:t>
      </w:r>
      <w:r w:rsidR="00E65075">
        <w:t>round one</w:t>
      </w:r>
      <w:r w:rsidR="00DF72BE" w:rsidRPr="00566B86">
        <w:t xml:space="preserve"> £</w:t>
      </w:r>
      <w:r w:rsidR="00E65075">
        <w:t>24k, round two</w:t>
      </w:r>
      <w:r w:rsidR="00DF72BE" w:rsidRPr="00566B86">
        <w:t xml:space="preserve"> £</w:t>
      </w:r>
      <w:r w:rsidR="00E65075">
        <w:t>44k and round three £16k</w:t>
      </w:r>
      <w:r w:rsidR="00566B86" w:rsidRPr="00566B86">
        <w:t>)</w:t>
      </w:r>
    </w:p>
    <w:p w14:paraId="4BAB5614" w14:textId="77777777" w:rsidR="005C65B6" w:rsidRPr="005C65B6" w:rsidRDefault="005C65B6" w:rsidP="005C65B6">
      <w:pPr>
        <w:pStyle w:val="ListParagraph"/>
        <w:numPr>
          <w:ilvl w:val="0"/>
          <w:numId w:val="0"/>
        </w:numPr>
        <w:tabs>
          <w:tab w:val="clear" w:pos="426"/>
        </w:tabs>
        <w:spacing w:after="160" w:line="259" w:lineRule="auto"/>
        <w:ind w:left="720"/>
        <w:contextualSpacing/>
        <w:rPr>
          <w:sz w:val="12"/>
        </w:rPr>
      </w:pPr>
    </w:p>
    <w:p w14:paraId="071225DF" w14:textId="77777777" w:rsidR="00AD6235" w:rsidRDefault="007A1373" w:rsidP="00AD6235">
      <w:pPr>
        <w:pStyle w:val="ListParagraph"/>
        <w:numPr>
          <w:ilvl w:val="0"/>
          <w:numId w:val="0"/>
        </w:numPr>
        <w:ind w:left="426"/>
      </w:pPr>
      <w:r>
        <w:t>A</w:t>
      </w:r>
      <w:r w:rsidR="005C65B6" w:rsidRPr="00101C9C">
        <w:t xml:space="preserve"> Big Ideas Transition</w:t>
      </w:r>
      <w:r w:rsidR="00C94F15">
        <w:t xml:space="preserve"> </w:t>
      </w:r>
      <w:r w:rsidR="00E65075">
        <w:t>grant of £56k</w:t>
      </w:r>
      <w:r w:rsidR="005C65B6" w:rsidRPr="00101C9C">
        <w:t xml:space="preserve"> was set up due to </w:t>
      </w:r>
      <w:r w:rsidR="003E2563">
        <w:t xml:space="preserve">the </w:t>
      </w:r>
      <w:r w:rsidR="005C65B6" w:rsidRPr="00101C9C">
        <w:t xml:space="preserve">availability of additional funds following year-end adjustments and was used to </w:t>
      </w:r>
      <w:r w:rsidR="00C11588">
        <w:t xml:space="preserve">give transition </w:t>
      </w:r>
      <w:r w:rsidR="005C65B6" w:rsidRPr="00101C9C">
        <w:t>fund</w:t>
      </w:r>
      <w:r w:rsidR="00C11588">
        <w:t>ing to</w:t>
      </w:r>
      <w:r w:rsidR="005C65B6" w:rsidRPr="00101C9C">
        <w:t xml:space="preserve"> unsuccessful Big Ideas applicants</w:t>
      </w:r>
      <w:r w:rsidR="00211D46">
        <w:t xml:space="preserve"> who had relevant </w:t>
      </w:r>
      <w:r w:rsidR="005C65B6" w:rsidRPr="00101C9C">
        <w:t>project proposals.</w:t>
      </w:r>
    </w:p>
    <w:p w14:paraId="5E437F00" w14:textId="77777777" w:rsidR="0088357D" w:rsidRPr="0088357D" w:rsidRDefault="00E65075" w:rsidP="0088357D">
      <w:pPr>
        <w:pStyle w:val="ListParagraph"/>
        <w:rPr>
          <w:sz w:val="22"/>
          <w:szCs w:val="22"/>
        </w:rPr>
      </w:pPr>
      <w:r>
        <w:t>The £442k</w:t>
      </w:r>
      <w:r w:rsidR="004A02F4">
        <w:t xml:space="preserve"> allocated to the </w:t>
      </w:r>
      <w:r w:rsidR="0088357D">
        <w:t xml:space="preserve">rough sleeping and single </w:t>
      </w:r>
      <w:r w:rsidR="004A02F4">
        <w:t xml:space="preserve">homelessness commissioning budget is managed alongside </w:t>
      </w:r>
      <w:r w:rsidR="0088357D">
        <w:t xml:space="preserve">other </w:t>
      </w:r>
      <w:r w:rsidR="004A02F4">
        <w:t xml:space="preserve">funding </w:t>
      </w:r>
      <w:r w:rsidR="0088357D">
        <w:t xml:space="preserve">streams </w:t>
      </w:r>
      <w:r w:rsidR="004A02F4">
        <w:t xml:space="preserve">in accordance with the </w:t>
      </w:r>
      <w:r w:rsidR="0088357D">
        <w:t xml:space="preserve">Rough Sleeping Strategy (with the new Housing, </w:t>
      </w:r>
      <w:r w:rsidR="004A02F4">
        <w:t xml:space="preserve">Homelessness </w:t>
      </w:r>
      <w:r w:rsidR="0088357D">
        <w:t xml:space="preserve">and Rough Sleeping </w:t>
      </w:r>
      <w:r w:rsidR="004A02F4">
        <w:t>Strategy</w:t>
      </w:r>
      <w:r w:rsidR="0088357D">
        <w:t xml:space="preserve"> out for statutory consultation)</w:t>
      </w:r>
      <w:r w:rsidR="004A02F4">
        <w:t>.  The impact of this spend will be include</w:t>
      </w:r>
      <w:r w:rsidR="004E52B5">
        <w:t>d</w:t>
      </w:r>
      <w:r w:rsidR="004A02F4">
        <w:t xml:space="preserve"> in a separate Cabinet report in </w:t>
      </w:r>
      <w:r w:rsidR="0088357D">
        <w:t xml:space="preserve">early </w:t>
      </w:r>
      <w:r w:rsidR="004A02F4">
        <w:t>2023.</w:t>
      </w:r>
      <w:r w:rsidR="004A02F4">
        <w:rPr>
          <w:rFonts w:asciiTheme="minorHAnsi" w:hAnsiTheme="minorHAnsi" w:cstheme="minorBidi"/>
        </w:rPr>
        <w:t xml:space="preserve"> </w:t>
      </w:r>
    </w:p>
    <w:p w14:paraId="5E6C1C88" w14:textId="4168C762" w:rsidR="0047004A" w:rsidRDefault="00E65075" w:rsidP="007A1373">
      <w:pPr>
        <w:pStyle w:val="ListParagraph"/>
      </w:pPr>
      <w:r>
        <w:t>£53k</w:t>
      </w:r>
      <w:r w:rsidR="0047004A">
        <w:t xml:space="preserve"> is allocated to support d</w:t>
      </w:r>
      <w:r>
        <w:t>omestic abuse services and £448k</w:t>
      </w:r>
      <w:r w:rsidR="0047004A">
        <w:t xml:space="preserve"> is allocated to advice services </w:t>
      </w:r>
    </w:p>
    <w:p w14:paraId="748F7F12" w14:textId="77777777" w:rsidR="007A1373" w:rsidRDefault="007A1373" w:rsidP="007A1373">
      <w:pPr>
        <w:pStyle w:val="ListParagraph"/>
      </w:pPr>
      <w:r w:rsidRPr="00101C9C">
        <w:t xml:space="preserve">The </w:t>
      </w:r>
      <w:hyperlink r:id="rId11" w:history="1">
        <w:r w:rsidR="004358F6" w:rsidRPr="008D37BD">
          <w:rPr>
            <w:rStyle w:val="Hyperlink"/>
          </w:rPr>
          <w:t xml:space="preserve">grant </w:t>
        </w:r>
        <w:r w:rsidRPr="008D37BD">
          <w:rPr>
            <w:rStyle w:val="Hyperlink"/>
          </w:rPr>
          <w:t>application process</w:t>
        </w:r>
      </w:hyperlink>
      <w:r w:rsidRPr="00101C9C">
        <w:t xml:space="preserve"> </w:t>
      </w:r>
      <w:r>
        <w:t xml:space="preserve">was streamlined to be </w:t>
      </w:r>
      <w:r w:rsidRPr="00101C9C">
        <w:t xml:space="preserve">straightforward with </w:t>
      </w:r>
      <w:hyperlink r:id="rId12" w:history="1">
        <w:r w:rsidRPr="00106694">
          <w:rPr>
            <w:rStyle w:val="Hyperlink"/>
          </w:rPr>
          <w:t xml:space="preserve">clear </w:t>
        </w:r>
        <w:r w:rsidR="00106694" w:rsidRPr="00106694">
          <w:rPr>
            <w:rStyle w:val="Hyperlink"/>
          </w:rPr>
          <w:t>criteria</w:t>
        </w:r>
      </w:hyperlink>
      <w:r w:rsidR="00106694">
        <w:t xml:space="preserve"> and </w:t>
      </w:r>
      <w:r w:rsidRPr="00101C9C">
        <w:t xml:space="preserve">submission timelines. Furthermore, </w:t>
      </w:r>
      <w:r>
        <w:t xml:space="preserve">regular </w:t>
      </w:r>
      <w:r w:rsidRPr="00101C9C">
        <w:t>briefing sessions are conducted to go through the application form and answer any questions from potential applicants, and more in</w:t>
      </w:r>
      <w:r w:rsidR="00E65075">
        <w:t>-</w:t>
      </w:r>
      <w:r w:rsidRPr="00101C9C">
        <w:t xml:space="preserve">person and online help is </w:t>
      </w:r>
      <w:r>
        <w:t xml:space="preserve">also </w:t>
      </w:r>
      <w:r w:rsidR="00106694">
        <w:t xml:space="preserve">available.  Answers to questions raised are added to the </w:t>
      </w:r>
      <w:hyperlink r:id="rId13" w:history="1">
        <w:r w:rsidR="00106694" w:rsidRPr="00106694">
          <w:rPr>
            <w:rStyle w:val="Hyperlink"/>
          </w:rPr>
          <w:t>Frequently Asked Questions list</w:t>
        </w:r>
      </w:hyperlink>
      <w:r w:rsidR="00106694">
        <w:t xml:space="preserve"> so everyone has access to </w:t>
      </w:r>
      <w:r w:rsidR="00385B13">
        <w:t xml:space="preserve">them </w:t>
      </w:r>
      <w:r w:rsidR="00106694">
        <w:t>and accessibility tools are built into the application form.</w:t>
      </w:r>
    </w:p>
    <w:p w14:paraId="400AC46F" w14:textId="77777777" w:rsidR="008D37BD" w:rsidRDefault="008D37BD" w:rsidP="008D37BD">
      <w:pPr>
        <w:pStyle w:val="ListParagraph"/>
        <w:numPr>
          <w:ilvl w:val="0"/>
          <w:numId w:val="0"/>
        </w:numPr>
        <w:ind w:left="426"/>
      </w:pPr>
    </w:p>
    <w:p w14:paraId="781EA991" w14:textId="77777777" w:rsidR="00E65075" w:rsidRDefault="00E65075" w:rsidP="008D37BD">
      <w:pPr>
        <w:pStyle w:val="ListParagraph"/>
        <w:numPr>
          <w:ilvl w:val="0"/>
          <w:numId w:val="0"/>
        </w:numPr>
        <w:ind w:left="426"/>
      </w:pPr>
    </w:p>
    <w:p w14:paraId="4B5C184F" w14:textId="77777777" w:rsidR="00E65075" w:rsidRDefault="00E65075" w:rsidP="008D37BD">
      <w:pPr>
        <w:pStyle w:val="ListParagraph"/>
        <w:numPr>
          <w:ilvl w:val="0"/>
          <w:numId w:val="0"/>
        </w:numPr>
        <w:ind w:left="426"/>
      </w:pPr>
    </w:p>
    <w:p w14:paraId="271D79A0" w14:textId="77777777" w:rsidR="00E65075" w:rsidRDefault="00E65075" w:rsidP="008D37BD">
      <w:pPr>
        <w:pStyle w:val="ListParagraph"/>
        <w:numPr>
          <w:ilvl w:val="0"/>
          <w:numId w:val="0"/>
        </w:numPr>
        <w:ind w:left="426"/>
      </w:pPr>
    </w:p>
    <w:p w14:paraId="30CFAA52" w14:textId="77777777" w:rsidR="00E65075" w:rsidRDefault="00E65075" w:rsidP="008D37BD">
      <w:pPr>
        <w:pStyle w:val="ListParagraph"/>
        <w:numPr>
          <w:ilvl w:val="0"/>
          <w:numId w:val="0"/>
        </w:numPr>
        <w:ind w:left="426"/>
      </w:pPr>
    </w:p>
    <w:p w14:paraId="29C5D24C" w14:textId="77777777" w:rsidR="00AD6235" w:rsidRPr="007A1373" w:rsidRDefault="007A1373" w:rsidP="005C65B6">
      <w:pPr>
        <w:pStyle w:val="ListParagraph"/>
      </w:pPr>
      <w:r w:rsidRPr="007A1373">
        <w:t>Grants are assessed as per the following criteria and weighting</w:t>
      </w:r>
      <w:r w:rsidR="00E22ABE">
        <w:t xml:space="preserve"> which align with Corporate Priorities</w:t>
      </w:r>
      <w:r w:rsidRPr="007A1373">
        <w:t>:</w:t>
      </w:r>
    </w:p>
    <w:p w14:paraId="25218487" w14:textId="77777777" w:rsidR="00E65075" w:rsidRDefault="00E65075" w:rsidP="007A1373">
      <w:pPr>
        <w:pStyle w:val="Heading1"/>
        <w:jc w:val="both"/>
        <w:rPr>
          <w:rFonts w:cs="Arial"/>
          <w:color w:val="auto"/>
        </w:rPr>
      </w:pPr>
    </w:p>
    <w:p w14:paraId="11E5FD7F" w14:textId="557E496B" w:rsidR="007A1373" w:rsidRPr="00D026D1" w:rsidRDefault="00EE6FC3" w:rsidP="007A1373">
      <w:pPr>
        <w:pStyle w:val="Heading1"/>
        <w:jc w:val="both"/>
        <w:rPr>
          <w:rFonts w:cs="Arial"/>
          <w:color w:val="auto"/>
        </w:rPr>
      </w:pPr>
      <w:r>
        <w:rPr>
          <w:rFonts w:cs="Arial"/>
          <w:color w:val="auto"/>
        </w:rPr>
        <w:t>Table 1</w:t>
      </w:r>
      <w:r w:rsidR="008A43AE">
        <w:rPr>
          <w:rFonts w:cs="Arial"/>
          <w:color w:val="auto"/>
        </w:rPr>
        <w:t xml:space="preserve">: </w:t>
      </w:r>
      <w:r w:rsidR="007A1373" w:rsidRPr="00D026D1">
        <w:rPr>
          <w:rFonts w:cs="Arial"/>
          <w:color w:val="auto"/>
        </w:rPr>
        <w:t xml:space="preserve">Grant criteria and weighting </w:t>
      </w:r>
    </w:p>
    <w:tbl>
      <w:tblPr>
        <w:tblW w:w="9204" w:type="dxa"/>
        <w:tblLayout w:type="fixed"/>
        <w:tblCellMar>
          <w:left w:w="0" w:type="dxa"/>
          <w:right w:w="0" w:type="dxa"/>
        </w:tblCellMar>
        <w:tblLook w:val="0420" w:firstRow="1" w:lastRow="0" w:firstColumn="0" w:lastColumn="0" w:noHBand="0" w:noVBand="1"/>
      </w:tblPr>
      <w:tblGrid>
        <w:gridCol w:w="2542"/>
        <w:gridCol w:w="5103"/>
        <w:gridCol w:w="1559"/>
      </w:tblGrid>
      <w:tr w:rsidR="007A1373" w:rsidRPr="00D026D1" w14:paraId="4CBC6C74" w14:textId="77777777" w:rsidTr="00E72418">
        <w:trPr>
          <w:trHeight w:val="519"/>
        </w:trPr>
        <w:tc>
          <w:tcPr>
            <w:tcW w:w="254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3F3AAB6E" w14:textId="77777777" w:rsidR="007A1373" w:rsidRPr="00D026D1" w:rsidRDefault="007A1373" w:rsidP="00247D68">
            <w:pPr>
              <w:rPr>
                <w:rFonts w:cs="Arial"/>
                <w:color w:val="auto"/>
                <w:sz w:val="20"/>
              </w:rPr>
            </w:pPr>
            <w:r w:rsidRPr="00D026D1">
              <w:rPr>
                <w:rFonts w:cs="Arial"/>
                <w:b/>
                <w:bCs/>
                <w:color w:val="FFFFFF" w:themeColor="background1"/>
              </w:rPr>
              <w:t>Criteria</w:t>
            </w:r>
          </w:p>
        </w:tc>
        <w:tc>
          <w:tcPr>
            <w:tcW w:w="510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48CF80F0" w14:textId="77777777" w:rsidR="007A1373" w:rsidRPr="00D026D1" w:rsidRDefault="007A1373" w:rsidP="00247D68">
            <w:pPr>
              <w:rPr>
                <w:rFonts w:cs="Arial"/>
                <w:b/>
                <w:bCs/>
                <w:color w:val="FFFFFF" w:themeColor="background1"/>
              </w:rPr>
            </w:pPr>
            <w:r w:rsidRPr="00D026D1">
              <w:rPr>
                <w:rFonts w:cs="Arial"/>
                <w:b/>
                <w:bCs/>
                <w:color w:val="FFFFFF" w:themeColor="background1"/>
              </w:rPr>
              <w:t>Explanation</w:t>
            </w:r>
          </w:p>
          <w:p w14:paraId="5B925931" w14:textId="77777777" w:rsidR="007A1373" w:rsidRPr="00D026D1" w:rsidRDefault="007A1373" w:rsidP="00247D68">
            <w:pPr>
              <w:rPr>
                <w:rFonts w:cs="Arial"/>
                <w:color w:val="FFFFFF" w:themeColor="background1"/>
              </w:rPr>
            </w:pPr>
            <w:r w:rsidRPr="00D026D1">
              <w:rPr>
                <w:rFonts w:cs="Arial"/>
                <w:b/>
                <w:bCs/>
                <w:color w:val="FFFFFF" w:themeColor="background1"/>
                <w:sz w:val="18"/>
                <w:szCs w:val="18"/>
              </w:rPr>
              <w:t>(see paragraph 73: OCC Priorities 1 – 4)</w:t>
            </w:r>
          </w:p>
        </w:tc>
        <w:tc>
          <w:tcPr>
            <w:tcW w:w="155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18749D1F" w14:textId="77777777" w:rsidR="007A1373" w:rsidRPr="00D026D1" w:rsidRDefault="007A1373" w:rsidP="00247D68">
            <w:pPr>
              <w:rPr>
                <w:rFonts w:cs="Arial"/>
                <w:color w:val="FFFFFF" w:themeColor="background1"/>
              </w:rPr>
            </w:pPr>
            <w:r w:rsidRPr="00D026D1">
              <w:rPr>
                <w:rFonts w:cs="Arial"/>
                <w:b/>
                <w:bCs/>
                <w:color w:val="FFFFFF" w:themeColor="background1"/>
              </w:rPr>
              <w:t>Weighting</w:t>
            </w:r>
          </w:p>
        </w:tc>
      </w:tr>
      <w:tr w:rsidR="007A1373" w:rsidRPr="00D026D1" w14:paraId="136B72C5" w14:textId="77777777" w:rsidTr="00E72418">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73996ED6" w14:textId="77777777" w:rsidR="007A1373" w:rsidRPr="00D026D1" w:rsidRDefault="007A1373" w:rsidP="00247D68">
            <w:pPr>
              <w:rPr>
                <w:rFonts w:cs="Arial"/>
                <w:color w:val="auto"/>
                <w:sz w:val="20"/>
              </w:rPr>
            </w:pPr>
            <w:r w:rsidRPr="00D026D1">
              <w:rPr>
                <w:rFonts w:cs="Arial"/>
                <w:sz w:val="20"/>
              </w:rPr>
              <w:t xml:space="preserve">Eligibility </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03DF9A2" w14:textId="77777777" w:rsidR="007A1373" w:rsidRPr="00D026D1" w:rsidRDefault="007A1373" w:rsidP="00247D68">
            <w:pPr>
              <w:rPr>
                <w:rFonts w:cs="Arial"/>
                <w:color w:val="auto"/>
                <w:sz w:val="16"/>
                <w:szCs w:val="16"/>
              </w:rPr>
            </w:pPr>
            <w:r w:rsidRPr="00D026D1">
              <w:rPr>
                <w:rFonts w:cs="Arial"/>
                <w:sz w:val="16"/>
                <w:szCs w:val="16"/>
              </w:rPr>
              <w:t xml:space="preserve">All applicants must demonstrate that they are financially viable; operate on a not-for-profit basis; have a track record of delivery, and that the funded activity will take place in Oxford </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449E994A" w14:textId="77777777" w:rsidR="007A1373" w:rsidRPr="00D026D1" w:rsidRDefault="007A1373" w:rsidP="00247D68">
            <w:pPr>
              <w:rPr>
                <w:rFonts w:cs="Arial"/>
                <w:color w:val="auto"/>
                <w:sz w:val="16"/>
                <w:szCs w:val="16"/>
              </w:rPr>
            </w:pPr>
            <w:r w:rsidRPr="00D026D1">
              <w:rPr>
                <w:rFonts w:cs="Arial"/>
                <w:sz w:val="20"/>
                <w:szCs w:val="16"/>
              </w:rPr>
              <w:t>Pass/Fail</w:t>
            </w:r>
          </w:p>
        </w:tc>
      </w:tr>
      <w:tr w:rsidR="007A1373" w:rsidRPr="00D026D1" w14:paraId="1C951161" w14:textId="77777777" w:rsidTr="00E72418">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C1E9C9A" w14:textId="77777777" w:rsidR="007A1373" w:rsidRPr="00D026D1" w:rsidRDefault="007A1373" w:rsidP="00247D68">
            <w:pPr>
              <w:rPr>
                <w:rFonts w:cs="Arial"/>
                <w:color w:val="auto"/>
                <w:sz w:val="20"/>
              </w:rPr>
            </w:pPr>
            <w:r w:rsidRPr="00D026D1">
              <w:rPr>
                <w:rFonts w:cs="Arial"/>
                <w:sz w:val="20"/>
              </w:rPr>
              <w:t>Equalities, diversity and inclusion (mandatory)</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5D6A79CA" w14:textId="77777777" w:rsidR="007A1373" w:rsidRPr="00D026D1" w:rsidRDefault="007A1373" w:rsidP="00247D68">
            <w:pPr>
              <w:rPr>
                <w:rFonts w:cs="Arial"/>
                <w:color w:val="auto"/>
                <w:sz w:val="16"/>
                <w:szCs w:val="16"/>
              </w:rPr>
            </w:pPr>
            <w:r w:rsidRPr="00D026D1">
              <w:rPr>
                <w:rFonts w:cs="Arial"/>
                <w:sz w:val="16"/>
                <w:szCs w:val="16"/>
              </w:rPr>
              <w:t>Demonstrating how the funded activity will help to reduce inequalities and increase diversity, inclusion, and access is mandatory for all applications. Proportionality will apply for applicants to small and medium grants – with consideration given to the evolution of the organisation and the extent of core documentation in place. (OCC Priorities 1 &amp; 3).</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58CF1CEA" w14:textId="77777777" w:rsidR="007A1373" w:rsidRPr="00D026D1" w:rsidRDefault="007A1373" w:rsidP="00247D68">
            <w:pPr>
              <w:rPr>
                <w:rFonts w:cs="Arial"/>
                <w:color w:val="auto"/>
                <w:sz w:val="16"/>
                <w:szCs w:val="16"/>
              </w:rPr>
            </w:pPr>
            <w:r w:rsidRPr="00D026D1">
              <w:rPr>
                <w:rFonts w:cs="Arial"/>
                <w:sz w:val="20"/>
                <w:szCs w:val="16"/>
              </w:rPr>
              <w:t>15% Pass/Fail</w:t>
            </w:r>
          </w:p>
        </w:tc>
      </w:tr>
      <w:tr w:rsidR="007A1373" w:rsidRPr="00D026D1" w14:paraId="2DFFDAEC" w14:textId="77777777" w:rsidTr="00E72418">
        <w:trPr>
          <w:trHeight w:val="328"/>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DC87DF2" w14:textId="77777777" w:rsidR="007A1373" w:rsidRPr="00D026D1" w:rsidRDefault="007A1373" w:rsidP="00247D68">
            <w:pPr>
              <w:rPr>
                <w:rFonts w:cs="Arial"/>
                <w:color w:val="auto"/>
                <w:sz w:val="20"/>
              </w:rPr>
            </w:pPr>
            <w:r w:rsidRPr="00D026D1">
              <w:rPr>
                <w:rFonts w:cs="Arial"/>
                <w:sz w:val="20"/>
              </w:rPr>
              <w:t>Environmental Sustainability and Zero Carbon Oxford (mandatory)</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F94803C" w14:textId="77777777" w:rsidR="007A1373" w:rsidRPr="00D026D1" w:rsidRDefault="007A1373" w:rsidP="00247D68">
            <w:pPr>
              <w:rPr>
                <w:rFonts w:cs="Arial"/>
                <w:color w:val="auto"/>
                <w:sz w:val="16"/>
                <w:szCs w:val="16"/>
              </w:rPr>
            </w:pPr>
            <w:r w:rsidRPr="00D026D1">
              <w:rPr>
                <w:rFonts w:cs="Arial"/>
                <w:sz w:val="16"/>
                <w:szCs w:val="16"/>
              </w:rPr>
              <w:t xml:space="preserve">Demonstrating how the funded activity will be managed to minimise its impact on the environment is mandatory for all applications (5% maximum weighting). Higher scores will be awarded to applications that will reduce carbon emissions in the city (up to an additional </w:t>
            </w:r>
            <w:r>
              <w:rPr>
                <w:rFonts w:cs="Arial"/>
                <w:sz w:val="16"/>
                <w:szCs w:val="16"/>
              </w:rPr>
              <w:t>10</w:t>
            </w:r>
            <w:r w:rsidRPr="00D026D1">
              <w:rPr>
                <w:rFonts w:cs="Arial"/>
                <w:sz w:val="16"/>
                <w:szCs w:val="16"/>
              </w:rPr>
              <w:t>% maximum weighting). Proportionality will apply for applicants to small and medium grants – with consideration given to the evolution of the organisation and the extent of core documentation in place. (OCC Priority 4).</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6F085709" w14:textId="77777777" w:rsidR="007A1373" w:rsidRPr="00D026D1" w:rsidRDefault="007A1373" w:rsidP="00247D68">
            <w:pPr>
              <w:rPr>
                <w:rFonts w:cs="Arial"/>
                <w:color w:val="auto"/>
                <w:sz w:val="16"/>
                <w:szCs w:val="16"/>
              </w:rPr>
            </w:pPr>
            <w:r w:rsidRPr="00D026D1">
              <w:rPr>
                <w:rFonts w:cs="Arial"/>
                <w:sz w:val="20"/>
                <w:szCs w:val="16"/>
              </w:rPr>
              <w:t>15% Pass/Fail</w:t>
            </w:r>
          </w:p>
        </w:tc>
      </w:tr>
      <w:tr w:rsidR="007A1373" w:rsidRPr="00D026D1" w14:paraId="7FA1540F" w14:textId="77777777" w:rsidTr="00E72418">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4B7E63E1" w14:textId="77777777" w:rsidR="007A1373" w:rsidRPr="00D026D1" w:rsidRDefault="007A1373" w:rsidP="00247D68">
            <w:pPr>
              <w:rPr>
                <w:rFonts w:cs="Arial"/>
                <w:color w:val="auto"/>
                <w:sz w:val="20"/>
              </w:rPr>
            </w:pPr>
            <w:r w:rsidRPr="00D026D1">
              <w:rPr>
                <w:rFonts w:cs="Arial"/>
                <w:sz w:val="20"/>
              </w:rPr>
              <w:t>Partnership working and cross/sector support</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ACA87E7" w14:textId="77777777" w:rsidR="007A1373" w:rsidRPr="00D026D1" w:rsidRDefault="007A1373" w:rsidP="00247D68">
            <w:pPr>
              <w:rPr>
                <w:rFonts w:cs="Arial"/>
                <w:color w:val="auto"/>
                <w:sz w:val="16"/>
                <w:szCs w:val="16"/>
              </w:rPr>
            </w:pPr>
            <w:r w:rsidRPr="00D026D1">
              <w:rPr>
                <w:rFonts w:cs="Arial"/>
                <w:sz w:val="16"/>
                <w:szCs w:val="16"/>
              </w:rPr>
              <w:t>In order to maximise the impact of funding and deliver value-for-money, we expect applicants to work together with relevant partners both within and, where relevant, across different sectors, placing the needs of beneficiaries at the forefront. Higher scores will be awarded to those who mentor and support new voices and grassroots organisations that reach into excluded and disadvantaged communities. (OCC Priorities 1 &amp; 3).</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56CC889A" w14:textId="77777777" w:rsidR="007A1373" w:rsidRPr="00D026D1" w:rsidRDefault="007A1373" w:rsidP="00247D68">
            <w:pPr>
              <w:rPr>
                <w:rFonts w:cs="Arial"/>
                <w:color w:val="auto"/>
                <w:sz w:val="16"/>
                <w:szCs w:val="16"/>
              </w:rPr>
            </w:pPr>
            <w:r w:rsidRPr="00D026D1">
              <w:rPr>
                <w:rFonts w:cs="Arial"/>
                <w:sz w:val="20"/>
                <w:szCs w:val="16"/>
              </w:rPr>
              <w:t>10%</w:t>
            </w:r>
          </w:p>
        </w:tc>
      </w:tr>
      <w:tr w:rsidR="007A1373" w:rsidRPr="00D026D1" w14:paraId="08052713" w14:textId="77777777" w:rsidTr="00E72418">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6B22B4AA" w14:textId="77777777" w:rsidR="007A1373" w:rsidRPr="00D026D1" w:rsidRDefault="007A1373" w:rsidP="00247D68">
            <w:pPr>
              <w:rPr>
                <w:rFonts w:cs="Arial"/>
                <w:color w:val="auto"/>
                <w:sz w:val="20"/>
              </w:rPr>
            </w:pPr>
            <w:r w:rsidRPr="00D026D1">
              <w:rPr>
                <w:rFonts w:cs="Arial"/>
                <w:sz w:val="20"/>
              </w:rPr>
              <w:t>Inclusive economy</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D79C948" w14:textId="77777777" w:rsidR="007A1373" w:rsidRPr="00D026D1" w:rsidRDefault="007A1373" w:rsidP="00247D68">
            <w:pPr>
              <w:rPr>
                <w:rFonts w:cs="Arial"/>
                <w:color w:val="auto"/>
                <w:sz w:val="16"/>
                <w:szCs w:val="16"/>
              </w:rPr>
            </w:pPr>
            <w:r w:rsidRPr="00D026D1">
              <w:rPr>
                <w:rFonts w:cs="Arial"/>
                <w:sz w:val="16"/>
                <w:szCs w:val="16"/>
              </w:rPr>
              <w:t>This criterion is designed to ensure that, in awarding grants, due weight is given to initiatives that encourage the distribution of wealth across our communities and where all residents can share the benefits of growth.    (OCC Priority 1).</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342B9BCF" w14:textId="77777777" w:rsidR="007A1373" w:rsidRPr="00D026D1" w:rsidRDefault="007A1373" w:rsidP="00247D68">
            <w:pPr>
              <w:rPr>
                <w:rFonts w:cs="Arial"/>
                <w:color w:val="auto"/>
                <w:sz w:val="16"/>
                <w:szCs w:val="16"/>
              </w:rPr>
            </w:pPr>
            <w:r w:rsidRPr="00D026D1">
              <w:rPr>
                <w:rFonts w:cs="Arial"/>
                <w:sz w:val="20"/>
                <w:szCs w:val="16"/>
              </w:rPr>
              <w:t>10%</w:t>
            </w:r>
          </w:p>
        </w:tc>
      </w:tr>
      <w:tr w:rsidR="007A1373" w:rsidRPr="00D026D1" w14:paraId="0FE6ADA0" w14:textId="77777777" w:rsidTr="00E72418">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48B8B355" w14:textId="77777777" w:rsidR="007A1373" w:rsidRPr="00D026D1" w:rsidRDefault="007A1373" w:rsidP="00247D68">
            <w:pPr>
              <w:rPr>
                <w:rFonts w:cs="Arial"/>
                <w:color w:val="auto"/>
                <w:sz w:val="20"/>
              </w:rPr>
            </w:pPr>
            <w:r w:rsidRPr="00D026D1">
              <w:rPr>
                <w:rFonts w:cs="Arial"/>
                <w:sz w:val="20"/>
              </w:rPr>
              <w:t xml:space="preserve">Health and wellbeing </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70C49CE4" w14:textId="77777777" w:rsidR="007A1373" w:rsidRPr="00D026D1" w:rsidRDefault="007A1373" w:rsidP="00247D68">
            <w:pPr>
              <w:rPr>
                <w:rFonts w:cs="Arial"/>
                <w:color w:val="auto"/>
                <w:sz w:val="16"/>
                <w:szCs w:val="16"/>
              </w:rPr>
            </w:pPr>
            <w:r w:rsidRPr="00D026D1">
              <w:rPr>
                <w:rFonts w:cs="Arial"/>
                <w:sz w:val="16"/>
                <w:szCs w:val="16"/>
              </w:rPr>
              <w:t>All sectors and communities are recovering from the impact of the pandemic, which has exacerbated health inequalities in the city.  We welcome applications that deliver activities to increase positive mental and physical health and wellbeing. (OCC Priorities 1 &amp; 3).</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1C3CEF0" w14:textId="77777777" w:rsidR="007A1373" w:rsidRPr="00D026D1" w:rsidRDefault="007A1373" w:rsidP="00247D68">
            <w:pPr>
              <w:rPr>
                <w:rFonts w:cs="Arial"/>
                <w:color w:val="auto"/>
                <w:sz w:val="16"/>
                <w:szCs w:val="16"/>
              </w:rPr>
            </w:pPr>
            <w:r w:rsidRPr="00D026D1">
              <w:rPr>
                <w:rFonts w:cs="Arial"/>
                <w:sz w:val="20"/>
                <w:szCs w:val="16"/>
              </w:rPr>
              <w:t>10%</w:t>
            </w:r>
          </w:p>
        </w:tc>
      </w:tr>
      <w:tr w:rsidR="007A1373" w:rsidRPr="00D026D1" w14:paraId="3C8084E3" w14:textId="77777777" w:rsidTr="00E72418">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F9F7DD6" w14:textId="77777777" w:rsidR="007A1373" w:rsidRPr="00D026D1" w:rsidRDefault="007A1373" w:rsidP="00247D68">
            <w:pPr>
              <w:rPr>
                <w:rFonts w:cs="Arial"/>
                <w:color w:val="auto"/>
                <w:sz w:val="20"/>
              </w:rPr>
            </w:pPr>
            <w:r w:rsidRPr="00D026D1">
              <w:rPr>
                <w:rFonts w:cs="Arial"/>
                <w:sz w:val="20"/>
              </w:rPr>
              <w:t>Leverage and match funding</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4AB42C0" w14:textId="77777777" w:rsidR="007A1373" w:rsidRPr="00D026D1" w:rsidRDefault="007A1373" w:rsidP="00247D68">
            <w:pPr>
              <w:rPr>
                <w:rFonts w:cs="Arial"/>
                <w:color w:val="auto"/>
                <w:sz w:val="16"/>
                <w:szCs w:val="16"/>
              </w:rPr>
            </w:pPr>
            <w:r w:rsidRPr="00D026D1">
              <w:rPr>
                <w:rFonts w:cs="Arial"/>
                <w:sz w:val="16"/>
                <w:szCs w:val="16"/>
              </w:rPr>
              <w:t>Given pressures on public funding, applications that can demonstrate the ability to generate additional income and/or lever in additional funding using OCC grants as a catalyst to unlock further investment in the city will score more highly. (OCC Priorities 3).</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792C8894" w14:textId="77777777" w:rsidR="007A1373" w:rsidRPr="00D026D1" w:rsidRDefault="007A1373" w:rsidP="00247D68">
            <w:pPr>
              <w:rPr>
                <w:rFonts w:cs="Arial"/>
                <w:color w:val="auto"/>
                <w:sz w:val="16"/>
                <w:szCs w:val="16"/>
              </w:rPr>
            </w:pPr>
            <w:r w:rsidRPr="00D026D1">
              <w:rPr>
                <w:rFonts w:cs="Arial"/>
                <w:sz w:val="20"/>
                <w:szCs w:val="16"/>
              </w:rPr>
              <w:t>10%</w:t>
            </w:r>
          </w:p>
        </w:tc>
      </w:tr>
      <w:tr w:rsidR="007A1373" w:rsidRPr="00D026D1" w14:paraId="58B2063D" w14:textId="77777777" w:rsidTr="00E72418">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2976BA54" w14:textId="77777777" w:rsidR="007A1373" w:rsidRPr="00D026D1" w:rsidRDefault="007A1373" w:rsidP="00247D68">
            <w:pPr>
              <w:rPr>
                <w:rFonts w:cs="Arial"/>
                <w:color w:val="auto"/>
                <w:sz w:val="20"/>
              </w:rPr>
            </w:pPr>
            <w:r w:rsidRPr="00D026D1">
              <w:rPr>
                <w:rFonts w:cs="Arial"/>
                <w:sz w:val="20"/>
              </w:rPr>
              <w:t>Innovation</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AD6F564" w14:textId="77777777" w:rsidR="007A1373" w:rsidRPr="00D026D1" w:rsidRDefault="007A1373" w:rsidP="00247D68">
            <w:pPr>
              <w:rPr>
                <w:rFonts w:cs="Arial"/>
                <w:color w:val="auto"/>
                <w:sz w:val="16"/>
                <w:szCs w:val="16"/>
              </w:rPr>
            </w:pPr>
            <w:r w:rsidRPr="00D026D1">
              <w:rPr>
                <w:rFonts w:cs="Arial"/>
                <w:sz w:val="16"/>
                <w:szCs w:val="16"/>
              </w:rPr>
              <w:t>Undoubtedly these are challenging times for those in the third sector and therefore additional weighting will be given to those able to demonstrate innovation in – the use of technology, processes, service delivery or any other aspect that can result in better quality, value-for-money or reach. (Innovation may support any or all of the 4 OCC Priorities).</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3390E51B" w14:textId="77777777" w:rsidR="007A1373" w:rsidRPr="00D026D1" w:rsidRDefault="007A1373" w:rsidP="00247D68">
            <w:pPr>
              <w:rPr>
                <w:rFonts w:cs="Arial"/>
                <w:color w:val="auto"/>
                <w:sz w:val="16"/>
                <w:szCs w:val="16"/>
              </w:rPr>
            </w:pPr>
            <w:r w:rsidRPr="00D026D1">
              <w:rPr>
                <w:rFonts w:cs="Arial"/>
                <w:sz w:val="20"/>
                <w:szCs w:val="16"/>
              </w:rPr>
              <w:t>10%</w:t>
            </w:r>
          </w:p>
        </w:tc>
      </w:tr>
      <w:tr w:rsidR="007A1373" w:rsidRPr="00D026D1" w14:paraId="3CFD5869" w14:textId="77777777" w:rsidTr="00E72418">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40A62C4D" w14:textId="77777777" w:rsidR="007A1373" w:rsidRPr="00D026D1" w:rsidRDefault="007A1373" w:rsidP="00247D68">
            <w:pPr>
              <w:rPr>
                <w:rFonts w:cs="Arial"/>
                <w:color w:val="auto"/>
                <w:sz w:val="20"/>
              </w:rPr>
            </w:pPr>
            <w:r w:rsidRPr="00D026D1">
              <w:rPr>
                <w:rFonts w:cs="Arial"/>
                <w:sz w:val="20"/>
              </w:rPr>
              <w:t>Balancing</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1FE4D28" w14:textId="77777777" w:rsidR="007A1373" w:rsidRPr="00D026D1" w:rsidRDefault="007A1373" w:rsidP="00247D68">
            <w:pPr>
              <w:rPr>
                <w:rFonts w:cs="Arial"/>
                <w:color w:val="auto"/>
                <w:sz w:val="16"/>
                <w:szCs w:val="16"/>
              </w:rPr>
            </w:pPr>
            <w:r w:rsidRPr="00D026D1">
              <w:rPr>
                <w:rFonts w:cs="Arial"/>
                <w:sz w:val="16"/>
                <w:szCs w:val="16"/>
              </w:rPr>
              <w:t xml:space="preserve">To ensure that a fair and balanced programme of grant awards is made that supports the needs of different localities, and communities of interest and identity, it is proposed to retain a fifth of the weighting for this purpose. </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53E2C070" w14:textId="77777777" w:rsidR="007A1373" w:rsidRPr="00D026D1" w:rsidRDefault="007A1373" w:rsidP="00247D68">
            <w:pPr>
              <w:rPr>
                <w:rFonts w:cs="Arial"/>
                <w:color w:val="auto"/>
                <w:sz w:val="16"/>
                <w:szCs w:val="16"/>
              </w:rPr>
            </w:pPr>
            <w:r w:rsidRPr="00D026D1">
              <w:rPr>
                <w:rFonts w:cs="Arial"/>
                <w:sz w:val="20"/>
                <w:szCs w:val="16"/>
              </w:rPr>
              <w:t>20%</w:t>
            </w:r>
          </w:p>
        </w:tc>
      </w:tr>
    </w:tbl>
    <w:p w14:paraId="5E35982C" w14:textId="77777777" w:rsidR="00E22ABE" w:rsidRPr="001356F1" w:rsidRDefault="00E22ABE" w:rsidP="00E22ABE">
      <w:pPr>
        <w:pStyle w:val="Heading1"/>
      </w:pPr>
      <w:r>
        <w:t>Oxford Community Impact Fund grant allocations made to date in 2022</w:t>
      </w:r>
    </w:p>
    <w:p w14:paraId="491BBCA1" w14:textId="77777777" w:rsidR="00E22ABE" w:rsidRPr="008A43AE" w:rsidRDefault="00E22ABE" w:rsidP="008A43AE">
      <w:pPr>
        <w:rPr>
          <w:highlight w:val="yellow"/>
        </w:rPr>
      </w:pPr>
    </w:p>
    <w:p w14:paraId="482054DD" w14:textId="425004D4" w:rsidR="006F7293" w:rsidRDefault="008A43AE" w:rsidP="006F7293">
      <w:pPr>
        <w:pStyle w:val="ListParagraph"/>
      </w:pPr>
      <w:r>
        <w:lastRenderedPageBreak/>
        <w:t>T</w:t>
      </w:r>
      <w:r w:rsidR="005C65B6" w:rsidRPr="00101C9C">
        <w:t xml:space="preserve">able </w:t>
      </w:r>
      <w:r w:rsidR="00EE6FC3">
        <w:t>2</w:t>
      </w:r>
      <w:r>
        <w:t xml:space="preserve"> shows the allocation of funding across the different grants </w:t>
      </w:r>
      <w:r w:rsidR="00F325C4">
        <w:t xml:space="preserve">and the number of organisations/projects </w:t>
      </w:r>
      <w:r w:rsidR="00477650">
        <w:t>that have received funding</w:t>
      </w:r>
      <w:r w:rsidR="00F325C4">
        <w:t xml:space="preserve"> </w:t>
      </w:r>
      <w:r w:rsidR="00852291">
        <w:t>in 2022 to date:</w:t>
      </w:r>
    </w:p>
    <w:p w14:paraId="1B647D1A" w14:textId="132A0CAD" w:rsidR="008A43AE" w:rsidRPr="008A43AE" w:rsidRDefault="00EE6FC3" w:rsidP="008A43AE">
      <w:pPr>
        <w:pStyle w:val="Heading1"/>
        <w:jc w:val="both"/>
        <w:rPr>
          <w:rFonts w:cs="Arial"/>
          <w:color w:val="auto"/>
        </w:rPr>
      </w:pPr>
      <w:r>
        <w:rPr>
          <w:rFonts w:cs="Arial"/>
          <w:color w:val="auto"/>
        </w:rPr>
        <w:t>Table 2</w:t>
      </w:r>
      <w:r w:rsidR="008A43AE">
        <w:rPr>
          <w:rFonts w:cs="Arial"/>
          <w:color w:val="auto"/>
        </w:rPr>
        <w:t>: Summary of the current grants and funding allocated</w:t>
      </w:r>
    </w:p>
    <w:tbl>
      <w:tblPr>
        <w:tblStyle w:val="TableGrid"/>
        <w:tblW w:w="0" w:type="auto"/>
        <w:tblLook w:val="04A0" w:firstRow="1" w:lastRow="0" w:firstColumn="1" w:lastColumn="0" w:noHBand="0" w:noVBand="1"/>
      </w:tblPr>
      <w:tblGrid>
        <w:gridCol w:w="2972"/>
        <w:gridCol w:w="2835"/>
        <w:gridCol w:w="3402"/>
      </w:tblGrid>
      <w:tr w:rsidR="006F7293" w:rsidRPr="00101C9C" w14:paraId="557F345C" w14:textId="77777777" w:rsidTr="008A43AE">
        <w:tc>
          <w:tcPr>
            <w:tcW w:w="2972" w:type="dxa"/>
          </w:tcPr>
          <w:p w14:paraId="7920079D" w14:textId="77777777" w:rsidR="006F7293" w:rsidRPr="00101C9C" w:rsidRDefault="006F7293" w:rsidP="00247D68">
            <w:pPr>
              <w:rPr>
                <w:b/>
              </w:rPr>
            </w:pPr>
            <w:r w:rsidRPr="00101C9C">
              <w:rPr>
                <w:b/>
              </w:rPr>
              <w:t>Grant</w:t>
            </w:r>
          </w:p>
        </w:tc>
        <w:tc>
          <w:tcPr>
            <w:tcW w:w="2835" w:type="dxa"/>
          </w:tcPr>
          <w:p w14:paraId="5CD10293" w14:textId="77777777" w:rsidR="006F7293" w:rsidRPr="00101C9C" w:rsidRDefault="006F7293" w:rsidP="00247D68">
            <w:pPr>
              <w:rPr>
                <w:b/>
              </w:rPr>
            </w:pPr>
            <w:r w:rsidRPr="00101C9C">
              <w:rPr>
                <w:b/>
              </w:rPr>
              <w:t>No. of projects</w:t>
            </w:r>
            <w:r w:rsidR="00F325C4">
              <w:rPr>
                <w:b/>
              </w:rPr>
              <w:t>/ organisations</w:t>
            </w:r>
            <w:r w:rsidRPr="00101C9C">
              <w:rPr>
                <w:b/>
              </w:rPr>
              <w:t xml:space="preserve"> funded</w:t>
            </w:r>
          </w:p>
        </w:tc>
        <w:tc>
          <w:tcPr>
            <w:tcW w:w="3402" w:type="dxa"/>
          </w:tcPr>
          <w:p w14:paraId="595CBB02" w14:textId="77777777" w:rsidR="006F7293" w:rsidRPr="00101C9C" w:rsidRDefault="006F7293" w:rsidP="00247D68">
            <w:pPr>
              <w:rPr>
                <w:b/>
              </w:rPr>
            </w:pPr>
            <w:r>
              <w:rPr>
                <w:b/>
              </w:rPr>
              <w:t>Funding allocated</w:t>
            </w:r>
            <w:r w:rsidR="00E65075">
              <w:rPr>
                <w:b/>
              </w:rPr>
              <w:t xml:space="preserve"> (£)</w:t>
            </w:r>
          </w:p>
        </w:tc>
      </w:tr>
      <w:tr w:rsidR="006F7293" w:rsidRPr="00101C9C" w14:paraId="459C05BC" w14:textId="77777777" w:rsidTr="008A43AE">
        <w:tc>
          <w:tcPr>
            <w:tcW w:w="2972" w:type="dxa"/>
          </w:tcPr>
          <w:p w14:paraId="0C089833" w14:textId="77777777" w:rsidR="006F7293" w:rsidRPr="00101C9C" w:rsidRDefault="006F7293" w:rsidP="00247D68">
            <w:r w:rsidRPr="00101C9C">
              <w:t>Big Ideas</w:t>
            </w:r>
          </w:p>
        </w:tc>
        <w:tc>
          <w:tcPr>
            <w:tcW w:w="2835" w:type="dxa"/>
          </w:tcPr>
          <w:p w14:paraId="40C389C9" w14:textId="77777777" w:rsidR="006F7293" w:rsidRPr="00101C9C" w:rsidRDefault="006F7293" w:rsidP="00247D68">
            <w:r w:rsidRPr="00101C9C">
              <w:t>36</w:t>
            </w:r>
          </w:p>
        </w:tc>
        <w:tc>
          <w:tcPr>
            <w:tcW w:w="3402" w:type="dxa"/>
          </w:tcPr>
          <w:p w14:paraId="2889B2C5" w14:textId="77777777" w:rsidR="006F7293" w:rsidRPr="00101C9C" w:rsidRDefault="006F7293" w:rsidP="00247D68">
            <w:pPr>
              <w:jc w:val="right"/>
            </w:pPr>
            <w:r w:rsidRPr="00101C9C">
              <w:t>338,000</w:t>
            </w:r>
          </w:p>
        </w:tc>
      </w:tr>
      <w:tr w:rsidR="00E72418" w:rsidRPr="00101C9C" w14:paraId="18B79B87" w14:textId="77777777" w:rsidTr="00247D68">
        <w:tc>
          <w:tcPr>
            <w:tcW w:w="2972" w:type="dxa"/>
          </w:tcPr>
          <w:p w14:paraId="0D94D2CB" w14:textId="77777777" w:rsidR="00E72418" w:rsidRPr="00101C9C" w:rsidRDefault="00E72418" w:rsidP="00247D68">
            <w:r w:rsidRPr="00101C9C">
              <w:t>Big Ideas Transition</w:t>
            </w:r>
          </w:p>
        </w:tc>
        <w:tc>
          <w:tcPr>
            <w:tcW w:w="2835" w:type="dxa"/>
          </w:tcPr>
          <w:p w14:paraId="216772E4" w14:textId="77777777" w:rsidR="00E72418" w:rsidRPr="00101C9C" w:rsidRDefault="00E72418" w:rsidP="00247D68">
            <w:r w:rsidRPr="00101C9C">
              <w:t>28</w:t>
            </w:r>
          </w:p>
        </w:tc>
        <w:tc>
          <w:tcPr>
            <w:tcW w:w="3402" w:type="dxa"/>
          </w:tcPr>
          <w:p w14:paraId="18AF50B3" w14:textId="77777777" w:rsidR="00E72418" w:rsidRPr="00101C9C" w:rsidRDefault="00E72418" w:rsidP="00247D68">
            <w:pPr>
              <w:jc w:val="right"/>
            </w:pPr>
            <w:r w:rsidRPr="00101C9C">
              <w:t>56,500</w:t>
            </w:r>
          </w:p>
        </w:tc>
      </w:tr>
      <w:tr w:rsidR="006F7293" w:rsidRPr="00101C9C" w14:paraId="107C72D1" w14:textId="77777777" w:rsidTr="008A43AE">
        <w:tc>
          <w:tcPr>
            <w:tcW w:w="2972" w:type="dxa"/>
          </w:tcPr>
          <w:p w14:paraId="56D63BDF" w14:textId="77777777" w:rsidR="006F7293" w:rsidRPr="00101C9C" w:rsidRDefault="006F7293" w:rsidP="00247D68">
            <w:r>
              <w:t>Small and Medium Grants round 1</w:t>
            </w:r>
          </w:p>
        </w:tc>
        <w:tc>
          <w:tcPr>
            <w:tcW w:w="2835" w:type="dxa"/>
          </w:tcPr>
          <w:p w14:paraId="73C3ABD5" w14:textId="77777777" w:rsidR="006F7293" w:rsidRPr="00101C9C" w:rsidRDefault="006F7293" w:rsidP="00247D68">
            <w:r w:rsidRPr="00101C9C">
              <w:t>25</w:t>
            </w:r>
          </w:p>
        </w:tc>
        <w:tc>
          <w:tcPr>
            <w:tcW w:w="3402" w:type="dxa"/>
          </w:tcPr>
          <w:p w14:paraId="34A3F1B5" w14:textId="77777777" w:rsidR="006F7293" w:rsidRPr="00101C9C" w:rsidRDefault="006F7293" w:rsidP="00247D68">
            <w:pPr>
              <w:jc w:val="right"/>
            </w:pPr>
            <w:r w:rsidRPr="00101C9C">
              <w:t>24,000</w:t>
            </w:r>
          </w:p>
        </w:tc>
      </w:tr>
      <w:tr w:rsidR="006F7293" w:rsidRPr="00101C9C" w14:paraId="39473F61" w14:textId="77777777" w:rsidTr="008A43AE">
        <w:tc>
          <w:tcPr>
            <w:tcW w:w="2972" w:type="dxa"/>
          </w:tcPr>
          <w:p w14:paraId="114D6909" w14:textId="77777777" w:rsidR="006F7293" w:rsidRPr="00101C9C" w:rsidRDefault="006F7293" w:rsidP="006F7293">
            <w:r w:rsidRPr="00101C9C">
              <w:t xml:space="preserve">Small and Medium Grants </w:t>
            </w:r>
            <w:r>
              <w:t>round 2</w:t>
            </w:r>
          </w:p>
        </w:tc>
        <w:tc>
          <w:tcPr>
            <w:tcW w:w="2835" w:type="dxa"/>
          </w:tcPr>
          <w:p w14:paraId="61C33F15" w14:textId="77777777" w:rsidR="006F7293" w:rsidRPr="00101C9C" w:rsidRDefault="006F7293" w:rsidP="00247D68">
            <w:r w:rsidRPr="00101C9C">
              <w:t>48</w:t>
            </w:r>
          </w:p>
        </w:tc>
        <w:tc>
          <w:tcPr>
            <w:tcW w:w="3402" w:type="dxa"/>
          </w:tcPr>
          <w:p w14:paraId="1A57E70B" w14:textId="77777777" w:rsidR="006F7293" w:rsidRPr="00101C9C" w:rsidRDefault="006F7293" w:rsidP="00247D68">
            <w:pPr>
              <w:jc w:val="right"/>
            </w:pPr>
            <w:r w:rsidRPr="00101C9C">
              <w:t>44,000</w:t>
            </w:r>
          </w:p>
        </w:tc>
      </w:tr>
      <w:tr w:rsidR="006F7293" w:rsidRPr="00101C9C" w14:paraId="70F98F42" w14:textId="77777777" w:rsidTr="008A43AE">
        <w:tc>
          <w:tcPr>
            <w:tcW w:w="2972" w:type="dxa"/>
          </w:tcPr>
          <w:p w14:paraId="7D57306B" w14:textId="77777777" w:rsidR="006F7293" w:rsidRPr="00101C9C" w:rsidRDefault="006F7293" w:rsidP="006F7293">
            <w:r w:rsidRPr="00101C9C">
              <w:t xml:space="preserve">Small and Medium Grants </w:t>
            </w:r>
            <w:r>
              <w:t>round 3</w:t>
            </w:r>
          </w:p>
        </w:tc>
        <w:tc>
          <w:tcPr>
            <w:tcW w:w="2835" w:type="dxa"/>
          </w:tcPr>
          <w:p w14:paraId="14E98451" w14:textId="77777777" w:rsidR="006F7293" w:rsidRPr="00101C9C" w:rsidRDefault="006F7293" w:rsidP="006F7293">
            <w:r w:rsidRPr="00101C9C">
              <w:t xml:space="preserve">Applications </w:t>
            </w:r>
            <w:r>
              <w:t>currently being assessed</w:t>
            </w:r>
          </w:p>
        </w:tc>
        <w:tc>
          <w:tcPr>
            <w:tcW w:w="3402" w:type="dxa"/>
          </w:tcPr>
          <w:p w14:paraId="5D85CC40" w14:textId="77777777" w:rsidR="006F7293" w:rsidRPr="00101C9C" w:rsidRDefault="006F7293" w:rsidP="00247D68">
            <w:pPr>
              <w:jc w:val="right"/>
            </w:pPr>
            <w:r w:rsidRPr="00101C9C">
              <w:t>16,000</w:t>
            </w:r>
            <w:r>
              <w:t xml:space="preserve"> available but not yet allocated</w:t>
            </w:r>
          </w:p>
        </w:tc>
      </w:tr>
      <w:tr w:rsidR="006F7293" w:rsidRPr="00101C9C" w14:paraId="48B38F37" w14:textId="77777777" w:rsidTr="008A43AE">
        <w:tc>
          <w:tcPr>
            <w:tcW w:w="2972" w:type="dxa"/>
          </w:tcPr>
          <w:p w14:paraId="30F9D947" w14:textId="77777777" w:rsidR="006F7293" w:rsidRPr="00101C9C" w:rsidRDefault="006F7293" w:rsidP="00AB0C8B">
            <w:pPr>
              <w:rPr>
                <w:b/>
              </w:rPr>
            </w:pPr>
            <w:r w:rsidRPr="00101C9C">
              <w:rPr>
                <w:b/>
              </w:rPr>
              <w:t>Total</w:t>
            </w:r>
            <w:r w:rsidR="00510897">
              <w:rPr>
                <w:b/>
              </w:rPr>
              <w:t xml:space="preserve"> funding </w:t>
            </w:r>
          </w:p>
        </w:tc>
        <w:tc>
          <w:tcPr>
            <w:tcW w:w="2835" w:type="dxa"/>
          </w:tcPr>
          <w:p w14:paraId="7C114DD5" w14:textId="77777777" w:rsidR="006F7293" w:rsidRPr="00101C9C" w:rsidRDefault="006F7293" w:rsidP="00247D68">
            <w:pPr>
              <w:rPr>
                <w:b/>
              </w:rPr>
            </w:pPr>
          </w:p>
        </w:tc>
        <w:tc>
          <w:tcPr>
            <w:tcW w:w="3402" w:type="dxa"/>
          </w:tcPr>
          <w:p w14:paraId="3EE3EACD" w14:textId="77777777" w:rsidR="006F7293" w:rsidRPr="00101C9C" w:rsidRDefault="006F7293" w:rsidP="00247D68">
            <w:pPr>
              <w:jc w:val="right"/>
              <w:rPr>
                <w:b/>
              </w:rPr>
            </w:pPr>
            <w:r w:rsidRPr="00101C9C">
              <w:rPr>
                <w:b/>
              </w:rPr>
              <w:t>478,500</w:t>
            </w:r>
          </w:p>
        </w:tc>
      </w:tr>
    </w:tbl>
    <w:p w14:paraId="2B8A1B88" w14:textId="77777777" w:rsidR="006F7293" w:rsidRDefault="006F7293" w:rsidP="006F7293"/>
    <w:p w14:paraId="6C4EEF1E" w14:textId="393F5180" w:rsidR="00852291" w:rsidRDefault="00852291" w:rsidP="00852291">
      <w:pPr>
        <w:pStyle w:val="ListParagraph"/>
      </w:pPr>
      <w:r>
        <w:t xml:space="preserve">Appendix </w:t>
      </w:r>
      <w:r w:rsidR="009B5949">
        <w:t>1</w:t>
      </w:r>
      <w:r>
        <w:t xml:space="preserve"> lists the organisations that r</w:t>
      </w:r>
      <w:r w:rsidR="00EE6FC3">
        <w:t>eceived the funding in Table 2</w:t>
      </w:r>
      <w:r>
        <w:t>.</w:t>
      </w:r>
    </w:p>
    <w:p w14:paraId="2B385360" w14:textId="77777777" w:rsidR="00852291" w:rsidRDefault="00852291" w:rsidP="00852291">
      <w:pPr>
        <w:pStyle w:val="ListParagraph"/>
        <w:numPr>
          <w:ilvl w:val="0"/>
          <w:numId w:val="0"/>
        </w:numPr>
        <w:ind w:left="426"/>
      </w:pPr>
    </w:p>
    <w:p w14:paraId="2AE35EEC" w14:textId="77777777" w:rsidR="00852291" w:rsidRDefault="00E35CB8" w:rsidP="00852291">
      <w:pPr>
        <w:pStyle w:val="Heading1"/>
      </w:pPr>
      <w:r>
        <w:t xml:space="preserve">Interim update </w:t>
      </w:r>
      <w:r w:rsidR="00B30709">
        <w:t xml:space="preserve">showing examples of </w:t>
      </w:r>
      <w:r>
        <w:t xml:space="preserve">the </w:t>
      </w:r>
      <w:r w:rsidR="00852291">
        <w:t xml:space="preserve">Impact of </w:t>
      </w:r>
      <w:r>
        <w:t xml:space="preserve">Community Impact </w:t>
      </w:r>
      <w:r w:rsidR="00B30709">
        <w:t>Fund grants to date</w:t>
      </w:r>
    </w:p>
    <w:p w14:paraId="6FBD3D6D" w14:textId="77777777" w:rsidR="00852291" w:rsidRDefault="00852291" w:rsidP="00852291"/>
    <w:p w14:paraId="49EA798E" w14:textId="77777777" w:rsidR="00741C91" w:rsidRPr="00741C91" w:rsidRDefault="00741C91" w:rsidP="00852291">
      <w:pPr>
        <w:pStyle w:val="ListParagraph"/>
      </w:pPr>
      <w:r w:rsidRPr="00741C91">
        <w:t xml:space="preserve">The report on the impact </w:t>
      </w:r>
      <w:r w:rsidR="00E65075">
        <w:t>of</w:t>
      </w:r>
      <w:r w:rsidRPr="00741C91">
        <w:t xml:space="preserve"> the funding for 2022-23 year is due to come to Cabinet in </w:t>
      </w:r>
      <w:r w:rsidR="003A332E" w:rsidRPr="00741C91">
        <w:t>autumn</w:t>
      </w:r>
      <w:r w:rsidRPr="00741C91">
        <w:t xml:space="preserve"> 2023.  </w:t>
      </w:r>
    </w:p>
    <w:p w14:paraId="43461946" w14:textId="77777777" w:rsidR="007F49D1" w:rsidRDefault="00741C91" w:rsidP="003715F6">
      <w:pPr>
        <w:pStyle w:val="ListParagraph"/>
      </w:pPr>
      <w:r w:rsidRPr="00741C91">
        <w:t>It is too early in the year to assess key elements of the social and economic impact, however</w:t>
      </w:r>
      <w:r w:rsidR="00E65075">
        <w:t>,</w:t>
      </w:r>
      <w:r w:rsidRPr="00741C91">
        <w:t xml:space="preserve"> the charts in appendix </w:t>
      </w:r>
      <w:proofErr w:type="gramStart"/>
      <w:r w:rsidR="00E65075">
        <w:t>Two</w:t>
      </w:r>
      <w:proofErr w:type="gramEnd"/>
      <w:r w:rsidR="00E65075">
        <w:t xml:space="preserve"> </w:t>
      </w:r>
      <w:r w:rsidRPr="00741C91">
        <w:t>indicate the communities of identity, geography and interest that funded project</w:t>
      </w:r>
      <w:r w:rsidR="00EA1091">
        <w:t>s</w:t>
      </w:r>
      <w:r w:rsidRPr="00741C91">
        <w:t xml:space="preserve"> intend to reach</w:t>
      </w:r>
      <w:r w:rsidR="00EA1091">
        <w:t>.</w:t>
      </w:r>
    </w:p>
    <w:p w14:paraId="7344605A" w14:textId="54C15B2F" w:rsidR="003715F6" w:rsidRDefault="00EE6FC3" w:rsidP="003715F6">
      <w:pPr>
        <w:pStyle w:val="ListParagraph"/>
      </w:pPr>
      <w:r>
        <w:t>Table 3</w:t>
      </w:r>
      <w:r w:rsidR="003715F6">
        <w:t xml:space="preserve"> </w:t>
      </w:r>
      <w:r w:rsidR="00BA7EDB">
        <w:t xml:space="preserve">gives a few </w:t>
      </w:r>
      <w:r w:rsidR="003715F6">
        <w:t xml:space="preserve">examples of the </w:t>
      </w:r>
      <w:r w:rsidR="00BA7EDB">
        <w:t xml:space="preserve">different types of </w:t>
      </w:r>
      <w:r w:rsidR="003715F6">
        <w:t xml:space="preserve">community impact </w:t>
      </w:r>
      <w:r w:rsidR="00BA7EDB">
        <w:t xml:space="preserve">from </w:t>
      </w:r>
      <w:r w:rsidR="003715F6">
        <w:t>a selection of the funded projects.</w:t>
      </w:r>
    </w:p>
    <w:p w14:paraId="2131594E" w14:textId="77777777" w:rsidR="003715F6" w:rsidRDefault="003715F6">
      <w:pPr>
        <w:spacing w:after="0"/>
        <w:rPr>
          <w:rFonts w:cs="Arial"/>
          <w:b/>
          <w:color w:val="auto"/>
        </w:rPr>
      </w:pPr>
      <w:r>
        <w:rPr>
          <w:rFonts w:cs="Arial"/>
          <w:color w:val="auto"/>
        </w:rPr>
        <w:br w:type="page"/>
      </w:r>
    </w:p>
    <w:p w14:paraId="7D3BBB81" w14:textId="1A0F9DD7" w:rsidR="007F49D1" w:rsidRPr="003715F6" w:rsidRDefault="00EE6FC3" w:rsidP="003715F6">
      <w:pPr>
        <w:pStyle w:val="Heading1"/>
        <w:jc w:val="both"/>
        <w:rPr>
          <w:rFonts w:cs="Arial"/>
          <w:color w:val="auto"/>
        </w:rPr>
      </w:pPr>
      <w:r>
        <w:rPr>
          <w:rFonts w:cs="Arial"/>
          <w:color w:val="auto"/>
        </w:rPr>
        <w:lastRenderedPageBreak/>
        <w:t>Table 3</w:t>
      </w:r>
      <w:r w:rsidR="003715F6">
        <w:rPr>
          <w:rFonts w:cs="Arial"/>
          <w:color w:val="auto"/>
        </w:rPr>
        <w:t>: examples of the community impact of a selection of the funded projects</w:t>
      </w:r>
    </w:p>
    <w:tbl>
      <w:tblPr>
        <w:tblStyle w:val="TableGrid"/>
        <w:tblW w:w="9209" w:type="dxa"/>
        <w:tblLayout w:type="fixed"/>
        <w:tblLook w:val="04A0" w:firstRow="1" w:lastRow="0" w:firstColumn="1" w:lastColumn="0" w:noHBand="0" w:noVBand="1"/>
      </w:tblPr>
      <w:tblGrid>
        <w:gridCol w:w="1838"/>
        <w:gridCol w:w="7371"/>
      </w:tblGrid>
      <w:tr w:rsidR="003715F6" w:rsidRPr="000A3FC2" w14:paraId="7AEB5EC6" w14:textId="77777777" w:rsidTr="00E65075">
        <w:tc>
          <w:tcPr>
            <w:tcW w:w="1838" w:type="dxa"/>
          </w:tcPr>
          <w:p w14:paraId="77955093" w14:textId="77777777" w:rsidR="003715F6" w:rsidRPr="003715F6" w:rsidRDefault="003715F6" w:rsidP="00530A9E">
            <w:pPr>
              <w:rPr>
                <w:rFonts w:cs="Arial"/>
                <w:b/>
              </w:rPr>
            </w:pPr>
            <w:r w:rsidRPr="003715F6">
              <w:rPr>
                <w:rFonts w:cs="Arial"/>
                <w:b/>
              </w:rPr>
              <w:t>Criteria</w:t>
            </w:r>
          </w:p>
        </w:tc>
        <w:tc>
          <w:tcPr>
            <w:tcW w:w="7371" w:type="dxa"/>
          </w:tcPr>
          <w:p w14:paraId="36411C67" w14:textId="77777777" w:rsidR="003715F6" w:rsidRPr="003715F6" w:rsidRDefault="003715F6" w:rsidP="00530A9E">
            <w:pPr>
              <w:rPr>
                <w:rFonts w:cs="Arial"/>
                <w:b/>
              </w:rPr>
            </w:pPr>
            <w:r w:rsidRPr="003715F6">
              <w:rPr>
                <w:rFonts w:cs="Arial"/>
                <w:b/>
              </w:rPr>
              <w:t>Grantee feedback</w:t>
            </w:r>
          </w:p>
        </w:tc>
      </w:tr>
      <w:tr w:rsidR="003715F6" w:rsidRPr="000A3FC2" w14:paraId="50519C17" w14:textId="77777777" w:rsidTr="00E65075">
        <w:tc>
          <w:tcPr>
            <w:tcW w:w="1838" w:type="dxa"/>
          </w:tcPr>
          <w:p w14:paraId="329FDD73" w14:textId="77777777" w:rsidR="003715F6" w:rsidRPr="003715F6" w:rsidRDefault="003715F6" w:rsidP="00E65075">
            <w:pPr>
              <w:rPr>
                <w:rFonts w:cs="Arial"/>
              </w:rPr>
            </w:pPr>
            <w:r w:rsidRPr="003715F6">
              <w:rPr>
                <w:rFonts w:cs="Arial"/>
              </w:rPr>
              <w:t xml:space="preserve">Equalities, Diversity </w:t>
            </w:r>
            <w:r w:rsidR="00E65075">
              <w:rPr>
                <w:rFonts w:cs="Arial"/>
              </w:rPr>
              <w:t>&amp;</w:t>
            </w:r>
            <w:r w:rsidRPr="003715F6">
              <w:rPr>
                <w:rFonts w:cs="Arial"/>
              </w:rPr>
              <w:t xml:space="preserve"> Inclusion</w:t>
            </w:r>
          </w:p>
        </w:tc>
        <w:tc>
          <w:tcPr>
            <w:tcW w:w="7371" w:type="dxa"/>
          </w:tcPr>
          <w:p w14:paraId="39FF40A5" w14:textId="77777777" w:rsidR="003715F6" w:rsidRPr="00E65075" w:rsidRDefault="003715F6" w:rsidP="00530A9E">
            <w:pPr>
              <w:pStyle w:val="ListParagraph"/>
              <w:numPr>
                <w:ilvl w:val="0"/>
                <w:numId w:val="37"/>
              </w:numPr>
              <w:tabs>
                <w:tab w:val="clear" w:pos="426"/>
              </w:tabs>
              <w:spacing w:after="0"/>
              <w:ind w:left="317" w:hanging="317"/>
              <w:contextualSpacing/>
              <w:rPr>
                <w:rFonts w:cs="Arial"/>
                <w:sz w:val="22"/>
              </w:rPr>
            </w:pPr>
            <w:r w:rsidRPr="00E65075">
              <w:rPr>
                <w:rFonts w:cs="Arial"/>
                <w:sz w:val="22"/>
              </w:rPr>
              <w:t xml:space="preserve">The Iranian Community Network </w:t>
            </w:r>
            <w:r w:rsidR="00AB4845" w:rsidRPr="00E65075">
              <w:rPr>
                <w:rFonts w:cs="Arial"/>
                <w:sz w:val="22"/>
              </w:rPr>
              <w:t xml:space="preserve">is providing </w:t>
            </w:r>
            <w:r w:rsidRPr="00E65075">
              <w:rPr>
                <w:rFonts w:cs="Arial"/>
                <w:sz w:val="22"/>
              </w:rPr>
              <w:t>English language and ICT skill classes to the communities of Refugees and Asylum seekers</w:t>
            </w:r>
            <w:r w:rsidR="00AB4845" w:rsidRPr="00E65075">
              <w:rPr>
                <w:rFonts w:cs="Arial"/>
                <w:sz w:val="22"/>
              </w:rPr>
              <w:t>.  They are</w:t>
            </w:r>
            <w:r w:rsidRPr="00E65075">
              <w:rPr>
                <w:rFonts w:cs="Arial"/>
                <w:sz w:val="22"/>
              </w:rPr>
              <w:t xml:space="preserve"> work</w:t>
            </w:r>
            <w:r w:rsidR="00AB4845" w:rsidRPr="00E65075">
              <w:rPr>
                <w:rFonts w:cs="Arial"/>
                <w:sz w:val="22"/>
              </w:rPr>
              <w:t>ing</w:t>
            </w:r>
            <w:r w:rsidRPr="00E65075">
              <w:rPr>
                <w:rFonts w:cs="Arial"/>
                <w:sz w:val="22"/>
              </w:rPr>
              <w:t xml:space="preserve"> closely in partnership with refugee and other charities in Oxford</w:t>
            </w:r>
            <w:r w:rsidR="00AB4845" w:rsidRPr="00E65075">
              <w:rPr>
                <w:rFonts w:cs="Arial"/>
                <w:sz w:val="22"/>
              </w:rPr>
              <w:t xml:space="preserve"> to share resources and ensure more people can benefit.</w:t>
            </w:r>
          </w:p>
          <w:p w14:paraId="105FD8CE" w14:textId="77777777" w:rsidR="003715F6" w:rsidRPr="00E65075" w:rsidRDefault="003715F6" w:rsidP="00530A9E">
            <w:pPr>
              <w:pStyle w:val="ListParagraph"/>
              <w:numPr>
                <w:ilvl w:val="0"/>
                <w:numId w:val="37"/>
              </w:numPr>
              <w:tabs>
                <w:tab w:val="clear" w:pos="426"/>
              </w:tabs>
              <w:spacing w:after="0"/>
              <w:ind w:left="317" w:hanging="317"/>
              <w:contextualSpacing/>
              <w:rPr>
                <w:rFonts w:cs="Arial"/>
                <w:sz w:val="22"/>
              </w:rPr>
            </w:pPr>
            <w:r w:rsidRPr="00E65075">
              <w:rPr>
                <w:rFonts w:cs="Arial"/>
                <w:sz w:val="22"/>
              </w:rPr>
              <w:t xml:space="preserve">Oxfordshire Mind has adapted its services to </w:t>
            </w:r>
            <w:r w:rsidR="00AB4845" w:rsidRPr="00E65075">
              <w:rPr>
                <w:rFonts w:cs="Arial"/>
                <w:sz w:val="22"/>
              </w:rPr>
              <w:t xml:space="preserve">better </w:t>
            </w:r>
            <w:r w:rsidRPr="00E65075">
              <w:rPr>
                <w:rFonts w:cs="Arial"/>
                <w:sz w:val="22"/>
              </w:rPr>
              <w:t xml:space="preserve">meet </w:t>
            </w:r>
            <w:r w:rsidR="00AB4845" w:rsidRPr="00E65075">
              <w:rPr>
                <w:rFonts w:cs="Arial"/>
                <w:sz w:val="22"/>
              </w:rPr>
              <w:t>community needs</w:t>
            </w:r>
            <w:r w:rsidRPr="00E65075">
              <w:rPr>
                <w:rFonts w:cs="Arial"/>
                <w:sz w:val="22"/>
              </w:rPr>
              <w:t xml:space="preserve"> by creating easy read electronic handouts and partnering with providers of translation services to make support more accessible. This in turn has helped communities such as the Chinese community in Oxford improve their wellbeing through learning tips and strategies shared on the 5 Ways to Wellbeing course. By working in partnership with the Oxford Chinese Community Centre, they have been able to build trust with the community and helped to overcome the stigma of seeking support for mental health issues.</w:t>
            </w:r>
          </w:p>
          <w:p w14:paraId="480D08AA" w14:textId="77777777" w:rsidR="003715F6" w:rsidRPr="00E65075" w:rsidRDefault="003715F6" w:rsidP="00530A9E">
            <w:pPr>
              <w:pStyle w:val="ListParagraph"/>
              <w:numPr>
                <w:ilvl w:val="0"/>
                <w:numId w:val="37"/>
              </w:numPr>
              <w:tabs>
                <w:tab w:val="clear" w:pos="426"/>
              </w:tabs>
              <w:spacing w:after="0"/>
              <w:ind w:left="317" w:hanging="317"/>
              <w:contextualSpacing/>
              <w:rPr>
                <w:rFonts w:cs="Arial"/>
                <w:sz w:val="22"/>
              </w:rPr>
            </w:pPr>
            <w:proofErr w:type="spellStart"/>
            <w:r w:rsidRPr="00E65075">
              <w:rPr>
                <w:rFonts w:cs="Arial"/>
                <w:sz w:val="22"/>
              </w:rPr>
              <w:t>Jacari</w:t>
            </w:r>
            <w:proofErr w:type="spellEnd"/>
            <w:r w:rsidRPr="00E65075">
              <w:rPr>
                <w:rFonts w:cs="Arial"/>
                <w:sz w:val="22"/>
              </w:rPr>
              <w:t xml:space="preserve"> </w:t>
            </w:r>
            <w:r w:rsidR="00AB4845" w:rsidRPr="00E65075">
              <w:rPr>
                <w:rFonts w:cs="Arial"/>
                <w:sz w:val="22"/>
              </w:rPr>
              <w:t xml:space="preserve">is working to support </w:t>
            </w:r>
            <w:r w:rsidRPr="00E65075">
              <w:rPr>
                <w:rFonts w:cs="Arial"/>
                <w:sz w:val="22"/>
              </w:rPr>
              <w:t xml:space="preserve">young people </w:t>
            </w:r>
            <w:r w:rsidR="004243F3" w:rsidRPr="00E65075">
              <w:rPr>
                <w:rFonts w:cs="Arial"/>
                <w:sz w:val="22"/>
              </w:rPr>
              <w:t xml:space="preserve">for whom English isn’t their first language </w:t>
            </w:r>
            <w:r w:rsidR="00AB4845" w:rsidRPr="00E65075">
              <w:rPr>
                <w:rFonts w:cs="Arial"/>
                <w:sz w:val="22"/>
              </w:rPr>
              <w:t xml:space="preserve">to access and </w:t>
            </w:r>
            <w:r w:rsidRPr="00E65075">
              <w:rPr>
                <w:rFonts w:cs="Arial"/>
                <w:sz w:val="22"/>
              </w:rPr>
              <w:t xml:space="preserve">thrive in </w:t>
            </w:r>
            <w:r w:rsidR="004243F3" w:rsidRPr="00E65075">
              <w:rPr>
                <w:rFonts w:cs="Arial"/>
                <w:sz w:val="22"/>
              </w:rPr>
              <w:t xml:space="preserve">their </w:t>
            </w:r>
            <w:r w:rsidRPr="00E65075">
              <w:rPr>
                <w:rFonts w:cs="Arial"/>
                <w:sz w:val="22"/>
              </w:rPr>
              <w:t>education. From the latest impact report in July 2022 - 85% of pupils surveyed said the lessons helped them improve their English, and 97% said they helped them feel more confident.</w:t>
            </w:r>
          </w:p>
          <w:p w14:paraId="37123395" w14:textId="77777777" w:rsidR="003715F6" w:rsidRPr="00E65075" w:rsidRDefault="003715F6" w:rsidP="004243F3">
            <w:pPr>
              <w:pStyle w:val="ListParagraph"/>
              <w:numPr>
                <w:ilvl w:val="0"/>
                <w:numId w:val="37"/>
              </w:numPr>
              <w:tabs>
                <w:tab w:val="clear" w:pos="426"/>
              </w:tabs>
              <w:spacing w:after="0"/>
              <w:ind w:left="317" w:hanging="317"/>
              <w:contextualSpacing/>
              <w:rPr>
                <w:rFonts w:cs="Arial"/>
                <w:sz w:val="22"/>
              </w:rPr>
            </w:pPr>
            <w:r w:rsidRPr="00E65075">
              <w:rPr>
                <w:rFonts w:cs="Arial"/>
                <w:sz w:val="22"/>
              </w:rPr>
              <w:t xml:space="preserve">Sanctuary Hosting </w:t>
            </w:r>
            <w:r w:rsidR="004243F3" w:rsidRPr="00E65075">
              <w:rPr>
                <w:rFonts w:cs="Arial"/>
                <w:sz w:val="22"/>
              </w:rPr>
              <w:t xml:space="preserve">are providing initial </w:t>
            </w:r>
            <w:r w:rsidRPr="00E65075">
              <w:rPr>
                <w:rFonts w:cs="Arial"/>
                <w:sz w:val="22"/>
              </w:rPr>
              <w:t xml:space="preserve">accommodation for people from different nationalities and backgrounds </w:t>
            </w:r>
            <w:r w:rsidR="004243F3" w:rsidRPr="00E65075">
              <w:rPr>
                <w:rFonts w:cs="Arial"/>
                <w:sz w:val="22"/>
              </w:rPr>
              <w:t xml:space="preserve">and supporting them to move to settled accommodation </w:t>
            </w:r>
            <w:r w:rsidRPr="00E65075">
              <w:rPr>
                <w:rFonts w:cs="Arial"/>
                <w:sz w:val="22"/>
              </w:rPr>
              <w:t>in rented accommodation, women’s refuge or Home Office accommodation.</w:t>
            </w:r>
          </w:p>
        </w:tc>
      </w:tr>
      <w:tr w:rsidR="004243F3" w:rsidRPr="000A3FC2" w14:paraId="3E978120" w14:textId="77777777" w:rsidTr="00E65075">
        <w:tc>
          <w:tcPr>
            <w:tcW w:w="1838" w:type="dxa"/>
          </w:tcPr>
          <w:p w14:paraId="65DE0AB3" w14:textId="77777777" w:rsidR="004243F3" w:rsidRPr="003715F6" w:rsidRDefault="004243F3" w:rsidP="00530A9E">
            <w:pPr>
              <w:rPr>
                <w:rFonts w:cs="Arial"/>
              </w:rPr>
            </w:pPr>
            <w:r w:rsidRPr="003715F6">
              <w:rPr>
                <w:rFonts w:cs="Arial"/>
              </w:rPr>
              <w:t>Environmental sustainability and zero carbon Oxford</w:t>
            </w:r>
          </w:p>
        </w:tc>
        <w:tc>
          <w:tcPr>
            <w:tcW w:w="7371" w:type="dxa"/>
          </w:tcPr>
          <w:p w14:paraId="124D67E5" w14:textId="77777777" w:rsidR="004243F3" w:rsidRPr="00E65075" w:rsidRDefault="004243F3" w:rsidP="004243F3">
            <w:pPr>
              <w:pStyle w:val="ListParagraph"/>
              <w:numPr>
                <w:ilvl w:val="0"/>
                <w:numId w:val="37"/>
              </w:numPr>
              <w:tabs>
                <w:tab w:val="clear" w:pos="426"/>
              </w:tabs>
              <w:spacing w:after="0"/>
              <w:ind w:left="317" w:hanging="317"/>
              <w:contextualSpacing/>
              <w:rPr>
                <w:rFonts w:cs="Arial"/>
                <w:sz w:val="22"/>
              </w:rPr>
            </w:pPr>
            <w:r w:rsidRPr="00E65075">
              <w:rPr>
                <w:rFonts w:cs="Arial"/>
                <w:sz w:val="22"/>
              </w:rPr>
              <w:t>Low Carbon Oxford North are helping residents to understand how they can improve their homes and manage their energy use to keep their heating and electricity running costs to a minimum.</w:t>
            </w:r>
          </w:p>
        </w:tc>
      </w:tr>
      <w:tr w:rsidR="00512A10" w:rsidRPr="000A3FC2" w14:paraId="3BDCCF84" w14:textId="77777777" w:rsidTr="00E65075">
        <w:tc>
          <w:tcPr>
            <w:tcW w:w="1838" w:type="dxa"/>
          </w:tcPr>
          <w:p w14:paraId="554186A9" w14:textId="77777777" w:rsidR="00512A10" w:rsidRPr="003715F6" w:rsidRDefault="00512A10" w:rsidP="00530A9E">
            <w:pPr>
              <w:rPr>
                <w:rFonts w:cs="Arial"/>
              </w:rPr>
            </w:pPr>
            <w:r w:rsidRPr="003715F6">
              <w:rPr>
                <w:rFonts w:cs="Arial"/>
              </w:rPr>
              <w:t>Partnership working and cross-sector support</w:t>
            </w:r>
          </w:p>
        </w:tc>
        <w:tc>
          <w:tcPr>
            <w:tcW w:w="7371" w:type="dxa"/>
          </w:tcPr>
          <w:p w14:paraId="4DD7D9A9" w14:textId="77777777" w:rsidR="0014038F" w:rsidRPr="00E65075" w:rsidRDefault="00E65075" w:rsidP="00530A9E">
            <w:pPr>
              <w:pStyle w:val="ListParagraph"/>
              <w:numPr>
                <w:ilvl w:val="0"/>
                <w:numId w:val="37"/>
              </w:numPr>
              <w:tabs>
                <w:tab w:val="clear" w:pos="426"/>
              </w:tabs>
              <w:spacing w:after="0"/>
              <w:ind w:left="317" w:hanging="317"/>
              <w:contextualSpacing/>
              <w:rPr>
                <w:rFonts w:cs="Arial"/>
                <w:sz w:val="22"/>
              </w:rPr>
            </w:pPr>
            <w:r>
              <w:rPr>
                <w:rFonts w:cs="Arial"/>
                <w:sz w:val="22"/>
              </w:rPr>
              <w:t xml:space="preserve">One applicant </w:t>
            </w:r>
            <w:r w:rsidR="0014038F" w:rsidRPr="00E65075">
              <w:rPr>
                <w:rFonts w:cs="Arial"/>
                <w:sz w:val="22"/>
              </w:rPr>
              <w:t xml:space="preserve">has secured additional funding in partnership with Oxford University and Oxford Brookes for a knowledge exchange research project to explore mapping African heritage </w:t>
            </w:r>
          </w:p>
          <w:p w14:paraId="6CC6012F" w14:textId="77777777" w:rsidR="007B46F8" w:rsidRPr="00E65075" w:rsidRDefault="007B46F8" w:rsidP="0014038F">
            <w:pPr>
              <w:pStyle w:val="ListParagraph"/>
              <w:numPr>
                <w:ilvl w:val="0"/>
                <w:numId w:val="37"/>
              </w:numPr>
              <w:tabs>
                <w:tab w:val="clear" w:pos="426"/>
              </w:tabs>
              <w:spacing w:after="0"/>
              <w:ind w:left="317" w:hanging="317"/>
              <w:contextualSpacing/>
              <w:rPr>
                <w:rFonts w:cs="Arial"/>
                <w:sz w:val="22"/>
              </w:rPr>
            </w:pPr>
            <w:r w:rsidRPr="00E65075">
              <w:rPr>
                <w:rFonts w:cs="Arial"/>
                <w:sz w:val="22"/>
              </w:rPr>
              <w:t xml:space="preserve">The Porch is working with Music at Oxford to provide work placements as ushers at music events for their members. They are also sharing resources with Narcotics Anonymous </w:t>
            </w:r>
          </w:p>
          <w:p w14:paraId="03284B49" w14:textId="77777777" w:rsidR="00512A10" w:rsidRPr="00E65075" w:rsidRDefault="00512A10" w:rsidP="0014038F">
            <w:pPr>
              <w:pStyle w:val="ListParagraph"/>
              <w:numPr>
                <w:ilvl w:val="0"/>
                <w:numId w:val="37"/>
              </w:numPr>
              <w:tabs>
                <w:tab w:val="clear" w:pos="426"/>
              </w:tabs>
              <w:spacing w:after="0"/>
              <w:ind w:left="317" w:hanging="317"/>
              <w:contextualSpacing/>
              <w:rPr>
                <w:rFonts w:cs="Arial"/>
                <w:sz w:val="22"/>
              </w:rPr>
            </w:pPr>
            <w:proofErr w:type="spellStart"/>
            <w:r w:rsidRPr="00E65075">
              <w:rPr>
                <w:rFonts w:cs="Arial"/>
                <w:sz w:val="22"/>
              </w:rPr>
              <w:t>FloFest</w:t>
            </w:r>
            <w:proofErr w:type="spellEnd"/>
            <w:r w:rsidRPr="00E65075">
              <w:rPr>
                <w:rFonts w:cs="Arial"/>
                <w:sz w:val="22"/>
              </w:rPr>
              <w:t xml:space="preserve"> partnered with the Oxford Playhouse for a free interactive theatre production and music. They also worked with Fusion Arts to deliver a culturally inclusive project with Asylum Welcome where there was free art and printing activities throughout the day.</w:t>
            </w:r>
          </w:p>
        </w:tc>
      </w:tr>
      <w:tr w:rsidR="003715F6" w:rsidRPr="000A3FC2" w14:paraId="111E8146" w14:textId="77777777" w:rsidTr="00E65075">
        <w:tc>
          <w:tcPr>
            <w:tcW w:w="1838" w:type="dxa"/>
          </w:tcPr>
          <w:p w14:paraId="2111C3F0" w14:textId="77777777" w:rsidR="003715F6" w:rsidRPr="003715F6" w:rsidRDefault="003715F6" w:rsidP="00530A9E">
            <w:pPr>
              <w:rPr>
                <w:rFonts w:cs="Arial"/>
              </w:rPr>
            </w:pPr>
            <w:r w:rsidRPr="003715F6">
              <w:rPr>
                <w:rFonts w:cs="Arial"/>
              </w:rPr>
              <w:t>Health and wellbeing</w:t>
            </w:r>
          </w:p>
          <w:p w14:paraId="41969585" w14:textId="77777777" w:rsidR="003715F6" w:rsidRPr="003715F6" w:rsidRDefault="003715F6" w:rsidP="00530A9E">
            <w:pPr>
              <w:rPr>
                <w:rFonts w:cs="Arial"/>
              </w:rPr>
            </w:pPr>
          </w:p>
        </w:tc>
        <w:tc>
          <w:tcPr>
            <w:tcW w:w="7371" w:type="dxa"/>
          </w:tcPr>
          <w:p w14:paraId="48F2E628" w14:textId="77777777" w:rsidR="00B04F0D" w:rsidRPr="00E65075" w:rsidRDefault="003715F6" w:rsidP="00E77A8B">
            <w:pPr>
              <w:pStyle w:val="ListParagraph"/>
              <w:numPr>
                <w:ilvl w:val="0"/>
                <w:numId w:val="37"/>
              </w:numPr>
              <w:tabs>
                <w:tab w:val="clear" w:pos="426"/>
              </w:tabs>
              <w:spacing w:after="0"/>
              <w:ind w:left="317" w:hanging="317"/>
              <w:contextualSpacing/>
              <w:rPr>
                <w:rFonts w:cs="Arial"/>
                <w:sz w:val="22"/>
              </w:rPr>
            </w:pPr>
            <w:r w:rsidRPr="00E65075">
              <w:rPr>
                <w:rFonts w:cs="Arial"/>
                <w:sz w:val="22"/>
              </w:rPr>
              <w:t xml:space="preserve">Dovecote Voluntary Parent Committee </w:t>
            </w:r>
            <w:r w:rsidR="00B04F0D" w:rsidRPr="00E65075">
              <w:rPr>
                <w:rFonts w:cs="Arial"/>
                <w:sz w:val="22"/>
              </w:rPr>
              <w:t xml:space="preserve">are helping to support </w:t>
            </w:r>
            <w:r w:rsidRPr="00E65075">
              <w:rPr>
                <w:rFonts w:cs="Arial"/>
                <w:sz w:val="22"/>
              </w:rPr>
              <w:t>children and families</w:t>
            </w:r>
            <w:r w:rsidR="00B04F0D" w:rsidRPr="00E65075">
              <w:rPr>
                <w:rFonts w:cs="Arial"/>
                <w:sz w:val="22"/>
              </w:rPr>
              <w:t xml:space="preserve"> to access support services</w:t>
            </w:r>
            <w:r w:rsidRPr="00E65075">
              <w:rPr>
                <w:rFonts w:cs="Arial"/>
                <w:sz w:val="22"/>
              </w:rPr>
              <w:t xml:space="preserve">, </w:t>
            </w:r>
            <w:r w:rsidR="00B04F0D" w:rsidRPr="00E65075">
              <w:rPr>
                <w:rFonts w:cs="Arial"/>
                <w:sz w:val="22"/>
              </w:rPr>
              <w:t xml:space="preserve">empowering them to build skills, </w:t>
            </w:r>
            <w:r w:rsidRPr="00E65075">
              <w:rPr>
                <w:rFonts w:cs="Arial"/>
                <w:sz w:val="22"/>
              </w:rPr>
              <w:t xml:space="preserve">confidence, self-esteem and </w:t>
            </w:r>
            <w:r w:rsidR="00B04F0D" w:rsidRPr="00E65075">
              <w:rPr>
                <w:rFonts w:cs="Arial"/>
                <w:sz w:val="22"/>
              </w:rPr>
              <w:t xml:space="preserve">a sense of belonging and </w:t>
            </w:r>
            <w:r w:rsidRPr="00E65075">
              <w:rPr>
                <w:rFonts w:cs="Arial"/>
                <w:sz w:val="22"/>
              </w:rPr>
              <w:t xml:space="preserve">ownership. </w:t>
            </w:r>
          </w:p>
          <w:p w14:paraId="29747A61" w14:textId="77777777" w:rsidR="003715F6" w:rsidRPr="00E65075" w:rsidRDefault="003715F6" w:rsidP="00E77A8B">
            <w:pPr>
              <w:pStyle w:val="ListParagraph"/>
              <w:numPr>
                <w:ilvl w:val="0"/>
                <w:numId w:val="37"/>
              </w:numPr>
              <w:tabs>
                <w:tab w:val="clear" w:pos="426"/>
              </w:tabs>
              <w:spacing w:after="0"/>
              <w:ind w:left="317" w:hanging="317"/>
              <w:contextualSpacing/>
              <w:rPr>
                <w:rFonts w:cs="Arial"/>
                <w:sz w:val="22"/>
              </w:rPr>
            </w:pPr>
            <w:r w:rsidRPr="00E65075">
              <w:rPr>
                <w:rFonts w:cs="Arial"/>
                <w:sz w:val="22"/>
              </w:rPr>
              <w:t>Oxford Mutual Aid</w:t>
            </w:r>
            <w:r w:rsidR="00B04F0D" w:rsidRPr="00E65075">
              <w:rPr>
                <w:rFonts w:cs="Arial"/>
                <w:sz w:val="22"/>
              </w:rPr>
              <w:t xml:space="preserve"> have delivered a variety of </w:t>
            </w:r>
            <w:r w:rsidRPr="00E65075">
              <w:rPr>
                <w:rFonts w:cs="Arial"/>
                <w:sz w:val="22"/>
              </w:rPr>
              <w:t xml:space="preserve">food parcels </w:t>
            </w:r>
            <w:r w:rsidR="00B04F0D" w:rsidRPr="00E65075">
              <w:rPr>
                <w:rFonts w:cs="Arial"/>
                <w:sz w:val="22"/>
              </w:rPr>
              <w:t xml:space="preserve">to </w:t>
            </w:r>
            <w:r w:rsidRPr="00E65075">
              <w:rPr>
                <w:rFonts w:cs="Arial"/>
                <w:sz w:val="22"/>
              </w:rPr>
              <w:t>around 500 under-18s</w:t>
            </w:r>
            <w:r w:rsidR="00B04F0D" w:rsidRPr="00E65075">
              <w:rPr>
                <w:rFonts w:cs="Arial"/>
                <w:sz w:val="22"/>
              </w:rPr>
              <w:t xml:space="preserve"> to help meet their needs.</w:t>
            </w:r>
          </w:p>
          <w:p w14:paraId="748799A7" w14:textId="77777777" w:rsidR="003715F6" w:rsidRPr="00E65075" w:rsidRDefault="003715F6" w:rsidP="00B04F0D">
            <w:pPr>
              <w:pStyle w:val="ListParagraph"/>
              <w:numPr>
                <w:ilvl w:val="0"/>
                <w:numId w:val="37"/>
              </w:numPr>
              <w:tabs>
                <w:tab w:val="clear" w:pos="426"/>
              </w:tabs>
              <w:spacing w:after="0"/>
              <w:ind w:left="317" w:hanging="317"/>
              <w:contextualSpacing/>
              <w:rPr>
                <w:rFonts w:cs="Arial"/>
                <w:sz w:val="22"/>
              </w:rPr>
            </w:pPr>
            <w:r w:rsidRPr="00E65075">
              <w:rPr>
                <w:rFonts w:cs="Arial"/>
                <w:sz w:val="22"/>
              </w:rPr>
              <w:t xml:space="preserve">The Porch </w:t>
            </w:r>
            <w:r w:rsidR="00B04F0D" w:rsidRPr="00E65075">
              <w:rPr>
                <w:rFonts w:cs="Arial"/>
                <w:sz w:val="22"/>
              </w:rPr>
              <w:t xml:space="preserve">are encouraging </w:t>
            </w:r>
            <w:r w:rsidRPr="00E65075">
              <w:rPr>
                <w:rFonts w:cs="Arial"/>
                <w:sz w:val="22"/>
              </w:rPr>
              <w:t xml:space="preserve">project beneficiaries to sign up to Healthy Hearts wellbeing project to improve </w:t>
            </w:r>
            <w:r w:rsidR="00B04F0D" w:rsidRPr="00E65075">
              <w:rPr>
                <w:rFonts w:cs="Arial"/>
                <w:sz w:val="22"/>
              </w:rPr>
              <w:t xml:space="preserve">the </w:t>
            </w:r>
            <w:r w:rsidRPr="00E65075">
              <w:rPr>
                <w:rFonts w:cs="Arial"/>
                <w:sz w:val="22"/>
              </w:rPr>
              <w:t>cardiovascular health</w:t>
            </w:r>
            <w:r w:rsidR="00B04F0D" w:rsidRPr="00E65075">
              <w:rPr>
                <w:rFonts w:cs="Arial"/>
                <w:sz w:val="22"/>
              </w:rPr>
              <w:t xml:space="preserve"> of people most in need including those who are in the homelessness pathway.</w:t>
            </w:r>
          </w:p>
        </w:tc>
      </w:tr>
      <w:tr w:rsidR="003715F6" w:rsidRPr="000A3FC2" w14:paraId="0D5DA0C4" w14:textId="77777777" w:rsidTr="00E65075">
        <w:tc>
          <w:tcPr>
            <w:tcW w:w="1838" w:type="dxa"/>
          </w:tcPr>
          <w:p w14:paraId="5A521998" w14:textId="77777777" w:rsidR="003715F6" w:rsidRPr="003715F6" w:rsidRDefault="003715F6" w:rsidP="00530A9E">
            <w:pPr>
              <w:rPr>
                <w:rFonts w:cs="Arial"/>
              </w:rPr>
            </w:pPr>
            <w:r w:rsidRPr="003715F6">
              <w:rPr>
                <w:rFonts w:cs="Arial"/>
              </w:rPr>
              <w:t>Attracting additional funding</w:t>
            </w:r>
          </w:p>
        </w:tc>
        <w:tc>
          <w:tcPr>
            <w:tcW w:w="7371" w:type="dxa"/>
          </w:tcPr>
          <w:p w14:paraId="1AACBAC8" w14:textId="77777777" w:rsidR="003715F6" w:rsidRPr="00E65075" w:rsidRDefault="003715F6" w:rsidP="003715F6">
            <w:pPr>
              <w:pStyle w:val="ListParagraph"/>
              <w:numPr>
                <w:ilvl w:val="0"/>
                <w:numId w:val="37"/>
              </w:numPr>
              <w:tabs>
                <w:tab w:val="clear" w:pos="426"/>
              </w:tabs>
              <w:spacing w:after="0"/>
              <w:ind w:left="317" w:hanging="317"/>
              <w:contextualSpacing/>
              <w:rPr>
                <w:rFonts w:cs="Arial"/>
                <w:sz w:val="22"/>
              </w:rPr>
            </w:pPr>
            <w:r w:rsidRPr="00E65075">
              <w:rPr>
                <w:rFonts w:cs="Arial"/>
                <w:sz w:val="22"/>
              </w:rPr>
              <w:t>Justice in Motion were able to raise additional funding of £30,000 from the Arts Council Project Grants through leveraging funds received from the Big Ideas grant.</w:t>
            </w:r>
          </w:p>
          <w:p w14:paraId="6F8646F9" w14:textId="77777777" w:rsidR="003715F6" w:rsidRPr="00E65075" w:rsidRDefault="003715F6" w:rsidP="003715F6">
            <w:pPr>
              <w:pStyle w:val="ListParagraph"/>
              <w:numPr>
                <w:ilvl w:val="0"/>
                <w:numId w:val="37"/>
              </w:numPr>
              <w:tabs>
                <w:tab w:val="clear" w:pos="426"/>
              </w:tabs>
              <w:spacing w:after="0"/>
              <w:ind w:left="317" w:hanging="317"/>
              <w:contextualSpacing/>
              <w:rPr>
                <w:rFonts w:cs="Arial"/>
                <w:sz w:val="22"/>
              </w:rPr>
            </w:pPr>
            <w:r w:rsidRPr="00E65075">
              <w:rPr>
                <w:rFonts w:cs="Arial"/>
                <w:sz w:val="22"/>
              </w:rPr>
              <w:lastRenderedPageBreak/>
              <w:t>Oxford Mutual Aid has been able to raise additional funding through grant</w:t>
            </w:r>
            <w:r w:rsidR="00E65075">
              <w:rPr>
                <w:rFonts w:cs="Arial"/>
                <w:sz w:val="22"/>
              </w:rPr>
              <w:t>s and donations worth over £120k</w:t>
            </w:r>
            <w:r w:rsidRPr="00E65075">
              <w:rPr>
                <w:rFonts w:cs="Arial"/>
                <w:sz w:val="22"/>
              </w:rPr>
              <w:t>, and also collaborate with some of the other grantees like Oxfordshire Asian Women’s Voice, the Porch, and Syrian Sisters to offer appropriate and tailored support to groups who have often struggled to gain access to traditional support services, and coordinate with other food-provision non-profits to identify ways to mutually support each other and pass on surplus</w:t>
            </w:r>
            <w:r w:rsidR="007B46F8" w:rsidRPr="00E65075">
              <w:rPr>
                <w:rFonts w:cs="Arial"/>
                <w:sz w:val="22"/>
              </w:rPr>
              <w:t xml:space="preserve"> supplies</w:t>
            </w:r>
            <w:r w:rsidRPr="00E65075">
              <w:rPr>
                <w:rFonts w:cs="Arial"/>
                <w:sz w:val="22"/>
              </w:rPr>
              <w:t>.</w:t>
            </w:r>
          </w:p>
        </w:tc>
      </w:tr>
      <w:tr w:rsidR="003715F6" w:rsidRPr="000A3FC2" w14:paraId="434FFBFF" w14:textId="77777777" w:rsidTr="00E65075">
        <w:tc>
          <w:tcPr>
            <w:tcW w:w="1838" w:type="dxa"/>
          </w:tcPr>
          <w:p w14:paraId="5BED3EAA" w14:textId="77777777" w:rsidR="003715F6" w:rsidRPr="003715F6" w:rsidRDefault="003715F6" w:rsidP="00530A9E">
            <w:pPr>
              <w:rPr>
                <w:rFonts w:cs="Arial"/>
              </w:rPr>
            </w:pPr>
            <w:r w:rsidRPr="003715F6">
              <w:rPr>
                <w:rFonts w:cs="Arial"/>
              </w:rPr>
              <w:lastRenderedPageBreak/>
              <w:t>Inclusive economy</w:t>
            </w:r>
          </w:p>
        </w:tc>
        <w:tc>
          <w:tcPr>
            <w:tcW w:w="7371" w:type="dxa"/>
          </w:tcPr>
          <w:p w14:paraId="3789FA31" w14:textId="77777777" w:rsidR="00B1243F" w:rsidRPr="00E65075" w:rsidRDefault="003715F6" w:rsidP="00B1243F">
            <w:pPr>
              <w:pStyle w:val="ListParagraph"/>
              <w:numPr>
                <w:ilvl w:val="0"/>
                <w:numId w:val="37"/>
              </w:numPr>
              <w:tabs>
                <w:tab w:val="clear" w:pos="426"/>
              </w:tabs>
              <w:spacing w:after="0"/>
              <w:ind w:left="317" w:hanging="317"/>
              <w:contextualSpacing/>
              <w:rPr>
                <w:rFonts w:cs="Arial"/>
                <w:sz w:val="22"/>
              </w:rPr>
            </w:pPr>
            <w:r w:rsidRPr="00E65075">
              <w:rPr>
                <w:rFonts w:cs="Arial"/>
                <w:sz w:val="22"/>
              </w:rPr>
              <w:t xml:space="preserve">Broken Spoke bike co-op </w:t>
            </w:r>
            <w:r w:rsidR="007B46F8" w:rsidRPr="00E65075">
              <w:rPr>
                <w:rFonts w:cs="Arial"/>
                <w:sz w:val="22"/>
              </w:rPr>
              <w:t xml:space="preserve">are </w:t>
            </w:r>
            <w:r w:rsidR="00B1243F" w:rsidRPr="00E65075">
              <w:rPr>
                <w:rFonts w:cs="Arial"/>
                <w:sz w:val="22"/>
              </w:rPr>
              <w:t xml:space="preserve">supporting </w:t>
            </w:r>
            <w:r w:rsidRPr="00E65075">
              <w:rPr>
                <w:rFonts w:cs="Arial"/>
                <w:sz w:val="22"/>
              </w:rPr>
              <w:t xml:space="preserve">people </w:t>
            </w:r>
            <w:r w:rsidR="00B1243F" w:rsidRPr="00E65075">
              <w:rPr>
                <w:rFonts w:cs="Arial"/>
                <w:sz w:val="22"/>
              </w:rPr>
              <w:t xml:space="preserve">in </w:t>
            </w:r>
            <w:r w:rsidRPr="00E65075">
              <w:rPr>
                <w:rFonts w:cs="Arial"/>
                <w:sz w:val="22"/>
              </w:rPr>
              <w:t>the Leys</w:t>
            </w:r>
            <w:r w:rsidR="00B1243F" w:rsidRPr="00E65075">
              <w:rPr>
                <w:rFonts w:cs="Arial"/>
                <w:sz w:val="22"/>
              </w:rPr>
              <w:t xml:space="preserve"> to access bikes and learn how to ride and maintain them which, in turn, will enable them to access a wider range of job and other opportunities. </w:t>
            </w:r>
          </w:p>
        </w:tc>
      </w:tr>
    </w:tbl>
    <w:p w14:paraId="6E834970" w14:textId="77777777" w:rsidR="003715F6" w:rsidRDefault="003715F6" w:rsidP="003715F6"/>
    <w:p w14:paraId="3DA54BCB" w14:textId="77777777" w:rsidR="00E35CB8" w:rsidRDefault="00852291" w:rsidP="00D15ECD">
      <w:pPr>
        <w:pStyle w:val="Heading1"/>
      </w:pPr>
      <w:r>
        <w:t>Criteria</w:t>
      </w:r>
      <w:r w:rsidR="00E35CB8">
        <w:t xml:space="preserve"> and weighting for assessing the 2023/24 grant allocations</w:t>
      </w:r>
    </w:p>
    <w:p w14:paraId="09597933" w14:textId="77777777" w:rsidR="00D15ECD" w:rsidRPr="00D15ECD" w:rsidRDefault="00D15ECD" w:rsidP="00D15ECD"/>
    <w:p w14:paraId="488B53D2" w14:textId="77777777" w:rsidR="00D15ECD" w:rsidRDefault="00D15ECD" w:rsidP="00D15ECD">
      <w:pPr>
        <w:pStyle w:val="ListParagraph"/>
      </w:pPr>
      <w:r>
        <w:t xml:space="preserve">Since the funding criteria was agreed in the Cabinet meeting on 15 December 2021, the cost of living crisis has added significant additional pressure on communities.  </w:t>
      </w:r>
    </w:p>
    <w:p w14:paraId="241B8545" w14:textId="77777777" w:rsidR="00D15ECD" w:rsidRDefault="00D15ECD" w:rsidP="00D15ECD">
      <w:pPr>
        <w:pStyle w:val="ListParagraph"/>
      </w:pPr>
      <w:r>
        <w:t>Of the ove</w:t>
      </w:r>
      <w:r w:rsidR="00E65075">
        <w:t>rall budget of £1,515,000, £943k</w:t>
      </w:r>
      <w:r>
        <w:t xml:space="preserve"> (62%) is already allocated to commissioning critical support for those most in need via advice centres, domestic abuse services and </w:t>
      </w:r>
      <w:r w:rsidRPr="009E34F7">
        <w:t>rough sleeping and sin</w:t>
      </w:r>
      <w:r>
        <w:t xml:space="preserve">gle homelessness pathways.  </w:t>
      </w:r>
    </w:p>
    <w:p w14:paraId="4ED463B5" w14:textId="77777777" w:rsidR="00D15ECD" w:rsidRDefault="00E65075" w:rsidP="00D15ECD">
      <w:pPr>
        <w:pStyle w:val="ListParagraph"/>
      </w:pPr>
      <w:r>
        <w:t>S</w:t>
      </w:r>
      <w:r w:rsidR="00D15ECD">
        <w:t xml:space="preserve">ome small and medium grant applicants are building food </w:t>
      </w:r>
      <w:r w:rsidR="0024744E">
        <w:t xml:space="preserve">and other </w:t>
      </w:r>
      <w:r w:rsidR="00D15ECD">
        <w:t xml:space="preserve">support into their projects (e.g. free lunches for participants) </w:t>
      </w:r>
    </w:p>
    <w:p w14:paraId="45020712" w14:textId="77777777" w:rsidR="00D15ECD" w:rsidRDefault="00D15ECD" w:rsidP="00D15ECD">
      <w:pPr>
        <w:pStyle w:val="ListParagraph"/>
      </w:pPr>
      <w:r>
        <w:t>Given the funding contracts already in place, criteria changes wou</w:t>
      </w:r>
      <w:r w:rsidR="00E65075">
        <w:t>ld come into effect for the £84k</w:t>
      </w:r>
      <w:r>
        <w:t xml:space="preserve"> small and medium grants (6% of the overall funding).  </w:t>
      </w:r>
    </w:p>
    <w:p w14:paraId="79D62217" w14:textId="77777777" w:rsidR="00095239" w:rsidRDefault="00095239" w:rsidP="00095239">
      <w:pPr>
        <w:pStyle w:val="ListParagraph"/>
      </w:pPr>
      <w:r>
        <w:t>Feedback is sought via a range of sources on an ongoing basis incl</w:t>
      </w:r>
      <w:r w:rsidR="00E65075">
        <w:t xml:space="preserve">uding </w:t>
      </w:r>
      <w:r>
        <w:t xml:space="preserve">briefing sessions, </w:t>
      </w:r>
      <w:r w:rsidR="00E65075">
        <w:t xml:space="preserve">the grant application form, </w:t>
      </w:r>
      <w:r>
        <w:t xml:space="preserve">email and phone. So far the feedback given has been around </w:t>
      </w:r>
      <w:r w:rsidR="00D15ECD">
        <w:t xml:space="preserve">small amends to </w:t>
      </w:r>
      <w:r>
        <w:t>the application form and the grants team have implemented suggestions for improvement. We have not received any feedback suggesting any amendments to the criteria.</w:t>
      </w:r>
    </w:p>
    <w:p w14:paraId="26E6C36B" w14:textId="77777777" w:rsidR="0024744E" w:rsidRDefault="00D15ECD" w:rsidP="0024744E">
      <w:pPr>
        <w:pStyle w:val="ListParagraph"/>
      </w:pPr>
      <w:r>
        <w:t xml:space="preserve">The application form currently requires </w:t>
      </w:r>
      <w:r w:rsidR="0024744E">
        <w:t>applicants to show how their project will meet the agreed criteria but it doesn’t require or score how their organisation is being developed more intrinsically to meet the agreed criteria (e.g. diversifying their board, reducing their energy use etc.)</w:t>
      </w:r>
    </w:p>
    <w:p w14:paraId="7DE3AB78" w14:textId="77777777" w:rsidR="0024744E" w:rsidRDefault="0024744E" w:rsidP="00095239">
      <w:pPr>
        <w:pStyle w:val="ListParagraph"/>
      </w:pPr>
      <w:r>
        <w:t>In light of the above, options for amending criteria for assessing 2023-24 grants include:</w:t>
      </w:r>
    </w:p>
    <w:p w14:paraId="2236255D" w14:textId="77777777" w:rsidR="0024744E" w:rsidRDefault="0024744E" w:rsidP="0024744E">
      <w:pPr>
        <w:pStyle w:val="ListParagraph"/>
        <w:numPr>
          <w:ilvl w:val="0"/>
          <w:numId w:val="38"/>
        </w:numPr>
      </w:pPr>
      <w:r>
        <w:t>Maintaining the criteria as they are</w:t>
      </w:r>
    </w:p>
    <w:p w14:paraId="1244238D" w14:textId="77777777" w:rsidR="0024744E" w:rsidRDefault="0024744E" w:rsidP="0024744E">
      <w:pPr>
        <w:pStyle w:val="ListParagraph"/>
        <w:numPr>
          <w:ilvl w:val="0"/>
          <w:numId w:val="38"/>
        </w:numPr>
      </w:pPr>
      <w:r>
        <w:t>Giving higher scores to projects which directly address the cost of living crisis</w:t>
      </w:r>
    </w:p>
    <w:p w14:paraId="595EE246" w14:textId="4682E821" w:rsidR="00E65075" w:rsidRDefault="0024744E" w:rsidP="0024744E">
      <w:pPr>
        <w:pStyle w:val="ListParagraph"/>
        <w:numPr>
          <w:ilvl w:val="0"/>
          <w:numId w:val="38"/>
        </w:numPr>
      </w:pPr>
      <w:r>
        <w:t>Giving higher scores to organisations who demonstrate how their organisation is being developed more intrinsically to meet the agreed criteria</w:t>
      </w:r>
      <w:r w:rsidR="00EE6FC3">
        <w:t>.</w:t>
      </w:r>
    </w:p>
    <w:p w14:paraId="271002F8" w14:textId="77777777" w:rsidR="00EE6FC3" w:rsidRDefault="00EE6FC3" w:rsidP="0024744E">
      <w:pPr>
        <w:pStyle w:val="Heading1"/>
      </w:pPr>
    </w:p>
    <w:p w14:paraId="636090ED" w14:textId="77777777" w:rsidR="00EE6FC3" w:rsidRDefault="00EE6FC3">
      <w:pPr>
        <w:spacing w:after="0"/>
        <w:rPr>
          <w:b/>
        </w:rPr>
      </w:pPr>
      <w:r>
        <w:br w:type="page"/>
      </w:r>
    </w:p>
    <w:p w14:paraId="281B6DAD" w14:textId="2C4EBACA" w:rsidR="0024744E" w:rsidRDefault="0024744E" w:rsidP="0024744E">
      <w:pPr>
        <w:pStyle w:val="Heading1"/>
      </w:pPr>
      <w:r>
        <w:lastRenderedPageBreak/>
        <w:t>Options appraisal</w:t>
      </w:r>
    </w:p>
    <w:p w14:paraId="3F4B3BF2" w14:textId="77777777" w:rsidR="0024744E" w:rsidRDefault="0024744E" w:rsidP="0024744E">
      <w:pPr>
        <w:pStyle w:val="ListParagraph"/>
      </w:pPr>
      <w:r>
        <w:t>The pros and cons of the options are:</w:t>
      </w:r>
    </w:p>
    <w:tbl>
      <w:tblPr>
        <w:tblStyle w:val="TableGrid"/>
        <w:tblW w:w="9351" w:type="dxa"/>
        <w:tblLook w:val="04A0" w:firstRow="1" w:lastRow="0" w:firstColumn="1" w:lastColumn="0" w:noHBand="0" w:noVBand="1"/>
      </w:tblPr>
      <w:tblGrid>
        <w:gridCol w:w="2830"/>
        <w:gridCol w:w="3362"/>
        <w:gridCol w:w="3159"/>
      </w:tblGrid>
      <w:tr w:rsidR="00E65075" w14:paraId="14ABF261" w14:textId="77777777" w:rsidTr="00E65075">
        <w:tc>
          <w:tcPr>
            <w:tcW w:w="2830" w:type="dxa"/>
          </w:tcPr>
          <w:p w14:paraId="4447924C" w14:textId="77777777" w:rsidR="00E65075" w:rsidRDefault="00E65075" w:rsidP="00E65075">
            <w:r>
              <w:t xml:space="preserve">Option </w:t>
            </w:r>
          </w:p>
        </w:tc>
        <w:tc>
          <w:tcPr>
            <w:tcW w:w="3362" w:type="dxa"/>
          </w:tcPr>
          <w:p w14:paraId="08C45038" w14:textId="77777777" w:rsidR="00E65075" w:rsidRPr="00E65075" w:rsidRDefault="00E65075" w:rsidP="00E65075">
            <w:pPr>
              <w:rPr>
                <w:sz w:val="22"/>
                <w:szCs w:val="22"/>
              </w:rPr>
            </w:pPr>
            <w:r w:rsidRPr="00E65075">
              <w:rPr>
                <w:sz w:val="22"/>
                <w:szCs w:val="22"/>
              </w:rPr>
              <w:t>Pros</w:t>
            </w:r>
          </w:p>
        </w:tc>
        <w:tc>
          <w:tcPr>
            <w:tcW w:w="3159" w:type="dxa"/>
          </w:tcPr>
          <w:p w14:paraId="6E462951" w14:textId="77777777" w:rsidR="00E65075" w:rsidRPr="00E65075" w:rsidRDefault="00E65075" w:rsidP="00E65075">
            <w:pPr>
              <w:rPr>
                <w:sz w:val="22"/>
                <w:szCs w:val="22"/>
              </w:rPr>
            </w:pPr>
            <w:r w:rsidRPr="00E65075">
              <w:rPr>
                <w:sz w:val="22"/>
                <w:szCs w:val="22"/>
              </w:rPr>
              <w:t xml:space="preserve">Cons </w:t>
            </w:r>
          </w:p>
        </w:tc>
      </w:tr>
      <w:tr w:rsidR="00E65075" w14:paraId="1D3073C3" w14:textId="77777777" w:rsidTr="00E65075">
        <w:tc>
          <w:tcPr>
            <w:tcW w:w="2830" w:type="dxa"/>
          </w:tcPr>
          <w:p w14:paraId="237E20B9" w14:textId="77777777" w:rsidR="00E65075" w:rsidRDefault="00E65075" w:rsidP="00E65075">
            <w:pPr>
              <w:pStyle w:val="ListParagraph"/>
              <w:numPr>
                <w:ilvl w:val="0"/>
                <w:numId w:val="39"/>
              </w:numPr>
              <w:ind w:left="454" w:hanging="454"/>
            </w:pPr>
            <w:r>
              <w:t>Maintaining the criteria as they are</w:t>
            </w:r>
          </w:p>
          <w:p w14:paraId="38BA1680" w14:textId="77777777" w:rsidR="00E65075" w:rsidRDefault="00E65075" w:rsidP="00E65075"/>
        </w:tc>
        <w:tc>
          <w:tcPr>
            <w:tcW w:w="3362" w:type="dxa"/>
          </w:tcPr>
          <w:p w14:paraId="55FDF64E" w14:textId="77777777" w:rsidR="00E65075" w:rsidRPr="00E65075" w:rsidRDefault="00E65075" w:rsidP="007378F5">
            <w:pPr>
              <w:pStyle w:val="ListParagraph"/>
              <w:numPr>
                <w:ilvl w:val="0"/>
                <w:numId w:val="37"/>
              </w:numPr>
              <w:rPr>
                <w:sz w:val="22"/>
                <w:szCs w:val="22"/>
              </w:rPr>
            </w:pPr>
            <w:r w:rsidRPr="00E65075">
              <w:rPr>
                <w:sz w:val="22"/>
                <w:szCs w:val="22"/>
              </w:rPr>
              <w:t>Applicants have recently</w:t>
            </w:r>
            <w:r>
              <w:rPr>
                <w:sz w:val="22"/>
                <w:szCs w:val="22"/>
              </w:rPr>
              <w:t xml:space="preserve"> </w:t>
            </w:r>
            <w:r w:rsidRPr="00E65075">
              <w:rPr>
                <w:sz w:val="22"/>
                <w:szCs w:val="22"/>
              </w:rPr>
              <w:t>got used to working to the new criteria following a full review – maintaining them as they are will help people feel confident to apply</w:t>
            </w:r>
          </w:p>
          <w:p w14:paraId="0ADEE4F5" w14:textId="77777777" w:rsidR="00E65075" w:rsidRPr="00E65075" w:rsidRDefault="00E65075" w:rsidP="00E65075">
            <w:pPr>
              <w:pStyle w:val="ListParagraph"/>
              <w:numPr>
                <w:ilvl w:val="0"/>
                <w:numId w:val="37"/>
              </w:numPr>
              <w:rPr>
                <w:sz w:val="22"/>
                <w:szCs w:val="22"/>
              </w:rPr>
            </w:pPr>
            <w:r w:rsidRPr="00E65075">
              <w:rPr>
                <w:sz w:val="22"/>
                <w:szCs w:val="22"/>
              </w:rPr>
              <w:t xml:space="preserve">The criteria are currently delivering a wide range of benefits </w:t>
            </w:r>
            <w:r>
              <w:rPr>
                <w:sz w:val="22"/>
                <w:szCs w:val="22"/>
              </w:rPr>
              <w:t>(</w:t>
            </w:r>
            <w:r w:rsidRPr="00E65075">
              <w:rPr>
                <w:sz w:val="22"/>
                <w:szCs w:val="22"/>
              </w:rPr>
              <w:t>appendix 2</w:t>
            </w:r>
            <w:r>
              <w:rPr>
                <w:sz w:val="22"/>
                <w:szCs w:val="22"/>
              </w:rPr>
              <w:t>)</w:t>
            </w:r>
          </w:p>
        </w:tc>
        <w:tc>
          <w:tcPr>
            <w:tcW w:w="3159" w:type="dxa"/>
          </w:tcPr>
          <w:p w14:paraId="24023D95" w14:textId="77777777" w:rsidR="00E65075" w:rsidRPr="00E65075" w:rsidRDefault="00E65075" w:rsidP="00E65075">
            <w:pPr>
              <w:pStyle w:val="ListParagraph"/>
              <w:numPr>
                <w:ilvl w:val="0"/>
                <w:numId w:val="37"/>
              </w:numPr>
              <w:rPr>
                <w:sz w:val="22"/>
                <w:szCs w:val="22"/>
              </w:rPr>
            </w:pPr>
            <w:r w:rsidRPr="00E65075">
              <w:rPr>
                <w:sz w:val="22"/>
                <w:szCs w:val="22"/>
              </w:rPr>
              <w:t>The opportunity to encourage organisational development may be missed</w:t>
            </w:r>
          </w:p>
          <w:p w14:paraId="050147E9" w14:textId="77777777" w:rsidR="00E65075" w:rsidRPr="00E65075" w:rsidRDefault="00E65075" w:rsidP="00E65075">
            <w:pPr>
              <w:rPr>
                <w:sz w:val="22"/>
                <w:szCs w:val="22"/>
              </w:rPr>
            </w:pPr>
          </w:p>
        </w:tc>
      </w:tr>
      <w:tr w:rsidR="00E65075" w14:paraId="588B491A" w14:textId="77777777" w:rsidTr="00E65075">
        <w:tc>
          <w:tcPr>
            <w:tcW w:w="2830" w:type="dxa"/>
          </w:tcPr>
          <w:p w14:paraId="66D5C991" w14:textId="77777777" w:rsidR="00E65075" w:rsidRDefault="00E65075" w:rsidP="00E65075">
            <w:pPr>
              <w:pStyle w:val="ListParagraph"/>
              <w:numPr>
                <w:ilvl w:val="0"/>
                <w:numId w:val="39"/>
              </w:numPr>
              <w:ind w:left="454" w:hanging="425"/>
            </w:pPr>
            <w:r>
              <w:t>Giving higher scores to projects which directly address the cost of living crisis</w:t>
            </w:r>
          </w:p>
          <w:p w14:paraId="32A2B5B0" w14:textId="77777777" w:rsidR="00E65075" w:rsidRDefault="00E65075" w:rsidP="00E65075"/>
        </w:tc>
        <w:tc>
          <w:tcPr>
            <w:tcW w:w="3362" w:type="dxa"/>
          </w:tcPr>
          <w:p w14:paraId="2720FE00" w14:textId="77777777" w:rsidR="00E65075" w:rsidRPr="00E65075" w:rsidRDefault="00E65075" w:rsidP="00E65075">
            <w:pPr>
              <w:pStyle w:val="ListParagraph"/>
              <w:numPr>
                <w:ilvl w:val="0"/>
                <w:numId w:val="37"/>
              </w:numPr>
              <w:rPr>
                <w:sz w:val="22"/>
                <w:szCs w:val="22"/>
              </w:rPr>
            </w:pPr>
            <w:r w:rsidRPr="00E65075">
              <w:rPr>
                <w:sz w:val="22"/>
                <w:szCs w:val="22"/>
              </w:rPr>
              <w:t>The projects will help support those most affected by the cost of living crisis</w:t>
            </w:r>
          </w:p>
          <w:p w14:paraId="37BD1068" w14:textId="77777777" w:rsidR="00E65075" w:rsidRPr="00E65075" w:rsidRDefault="00E65075" w:rsidP="00E65075">
            <w:pPr>
              <w:rPr>
                <w:sz w:val="22"/>
                <w:szCs w:val="22"/>
              </w:rPr>
            </w:pPr>
          </w:p>
        </w:tc>
        <w:tc>
          <w:tcPr>
            <w:tcW w:w="3159" w:type="dxa"/>
          </w:tcPr>
          <w:p w14:paraId="6B2B276B" w14:textId="77777777" w:rsidR="00E65075" w:rsidRPr="00E65075" w:rsidRDefault="00E65075" w:rsidP="00E65075">
            <w:pPr>
              <w:pStyle w:val="ListParagraph"/>
              <w:numPr>
                <w:ilvl w:val="0"/>
                <w:numId w:val="37"/>
              </w:numPr>
              <w:rPr>
                <w:sz w:val="22"/>
                <w:szCs w:val="22"/>
              </w:rPr>
            </w:pPr>
            <w:r w:rsidRPr="00E65075">
              <w:rPr>
                <w:sz w:val="22"/>
                <w:szCs w:val="22"/>
              </w:rPr>
              <w:t>The scope of projects would be reduced therefore reducing the opportunity for people to benefit from projects which could help them avoid getting into a crisis situation in the first place</w:t>
            </w:r>
          </w:p>
          <w:p w14:paraId="71941234" w14:textId="77777777" w:rsidR="00E65075" w:rsidRPr="00E65075" w:rsidRDefault="00E65075" w:rsidP="00E65075">
            <w:pPr>
              <w:rPr>
                <w:sz w:val="22"/>
                <w:szCs w:val="22"/>
              </w:rPr>
            </w:pPr>
          </w:p>
        </w:tc>
      </w:tr>
      <w:tr w:rsidR="00E65075" w14:paraId="3A6B3658" w14:textId="77777777" w:rsidTr="00E65075">
        <w:tc>
          <w:tcPr>
            <w:tcW w:w="2830" w:type="dxa"/>
          </w:tcPr>
          <w:p w14:paraId="72806028" w14:textId="77777777" w:rsidR="00E65075" w:rsidRDefault="00E65075" w:rsidP="00E65075">
            <w:pPr>
              <w:pStyle w:val="ListParagraph"/>
              <w:numPr>
                <w:ilvl w:val="0"/>
                <w:numId w:val="39"/>
              </w:numPr>
              <w:ind w:left="454" w:hanging="454"/>
            </w:pPr>
            <w:r>
              <w:t>Giving higher scores to organisations who demonstrate how their organisation is being developed more intrinsically to meet the agreed criteria</w:t>
            </w:r>
          </w:p>
        </w:tc>
        <w:tc>
          <w:tcPr>
            <w:tcW w:w="3362" w:type="dxa"/>
          </w:tcPr>
          <w:p w14:paraId="41F5C615" w14:textId="77777777" w:rsidR="00E65075" w:rsidRPr="00E65075" w:rsidRDefault="00E65075" w:rsidP="00E65075">
            <w:pPr>
              <w:pStyle w:val="ListParagraph"/>
              <w:numPr>
                <w:ilvl w:val="0"/>
                <w:numId w:val="37"/>
              </w:numPr>
              <w:rPr>
                <w:sz w:val="22"/>
                <w:szCs w:val="22"/>
              </w:rPr>
            </w:pPr>
            <w:r w:rsidRPr="00E65075">
              <w:rPr>
                <w:sz w:val="22"/>
                <w:szCs w:val="22"/>
              </w:rPr>
              <w:t>Organisations will be encouraged to create more sustainable and longer</w:t>
            </w:r>
            <w:r>
              <w:rPr>
                <w:sz w:val="22"/>
                <w:szCs w:val="22"/>
              </w:rPr>
              <w:t>-</w:t>
            </w:r>
            <w:r w:rsidRPr="00E65075">
              <w:rPr>
                <w:sz w:val="22"/>
                <w:szCs w:val="22"/>
              </w:rPr>
              <w:t>lasting impact</w:t>
            </w:r>
          </w:p>
          <w:p w14:paraId="0CBCEEAC" w14:textId="77777777" w:rsidR="00E65075" w:rsidRPr="00E65075" w:rsidRDefault="00E65075" w:rsidP="00E65075">
            <w:pPr>
              <w:rPr>
                <w:sz w:val="22"/>
                <w:szCs w:val="22"/>
              </w:rPr>
            </w:pPr>
          </w:p>
        </w:tc>
        <w:tc>
          <w:tcPr>
            <w:tcW w:w="3159" w:type="dxa"/>
          </w:tcPr>
          <w:p w14:paraId="471CE432" w14:textId="77777777" w:rsidR="00E65075" w:rsidRPr="00E65075" w:rsidRDefault="00E65075" w:rsidP="00E65075">
            <w:pPr>
              <w:pStyle w:val="ListParagraph"/>
              <w:numPr>
                <w:ilvl w:val="0"/>
                <w:numId w:val="37"/>
              </w:numPr>
              <w:rPr>
                <w:sz w:val="22"/>
                <w:szCs w:val="22"/>
              </w:rPr>
            </w:pPr>
            <w:r w:rsidRPr="00E65075">
              <w:rPr>
                <w:sz w:val="22"/>
                <w:szCs w:val="22"/>
              </w:rPr>
              <w:t xml:space="preserve">This could penalise smaller, often more diverse/grassroots organisations, who don’t have the budgets or capacity available for more intrinsic </w:t>
            </w:r>
            <w:r>
              <w:rPr>
                <w:sz w:val="22"/>
                <w:szCs w:val="22"/>
              </w:rPr>
              <w:t>o</w:t>
            </w:r>
            <w:r w:rsidRPr="00E65075">
              <w:rPr>
                <w:sz w:val="22"/>
                <w:szCs w:val="22"/>
              </w:rPr>
              <w:t>rganisational development</w:t>
            </w:r>
          </w:p>
        </w:tc>
      </w:tr>
    </w:tbl>
    <w:p w14:paraId="3E10A230" w14:textId="77777777" w:rsidR="00E65075" w:rsidRDefault="00E65075" w:rsidP="00E65075"/>
    <w:p w14:paraId="1F2AEB93" w14:textId="77777777" w:rsidR="00F957A0" w:rsidRDefault="00E65075" w:rsidP="00F957A0">
      <w:pPr>
        <w:pStyle w:val="Heading1"/>
      </w:pPr>
      <w:r>
        <w:t>Officer r</w:t>
      </w:r>
      <w:r w:rsidR="00F957A0">
        <w:t>ecommendation:</w:t>
      </w:r>
    </w:p>
    <w:p w14:paraId="4C9C1B9A" w14:textId="4FA761FA" w:rsidR="00E65075" w:rsidRDefault="003A332E" w:rsidP="0076274C">
      <w:pPr>
        <w:pStyle w:val="ListParagraph"/>
      </w:pPr>
      <w:r>
        <w:t>Given the pros and cons of the options, the recommendation is option a) – not to change the criteria at this time. Instead</w:t>
      </w:r>
      <w:r w:rsidR="00E65075">
        <w:t>,</w:t>
      </w:r>
      <w:r>
        <w:t xml:space="preserve"> we recommend we request applicants </w:t>
      </w:r>
      <w:r w:rsidR="00E65075">
        <w:t xml:space="preserve">to </w:t>
      </w:r>
      <w:r>
        <w:t xml:space="preserve">provide information regarding organisational development </w:t>
      </w:r>
      <w:r w:rsidR="0065142E">
        <w:t xml:space="preserve">including the demographics of their board/staff/volunteer teams </w:t>
      </w:r>
      <w:r>
        <w:t xml:space="preserve">and their response to the cost of living crisis in a voluntary capacity as part of project monitoring for grants awarded in 2022-23 and </w:t>
      </w:r>
      <w:r w:rsidR="00A71F04">
        <w:t xml:space="preserve">make this </w:t>
      </w:r>
      <w:r>
        <w:t xml:space="preserve">obligatory for </w:t>
      </w:r>
      <w:r w:rsidR="00A71F04">
        <w:t xml:space="preserve">grants awarded in </w:t>
      </w:r>
      <w:r>
        <w:t>2023-24.  This information can then be considered as part of the cabinet report in autumn 2023 when the impact of the funding for the financial year 2022-23 is considered more fully</w:t>
      </w:r>
      <w:r w:rsidR="00DA5432">
        <w:t xml:space="preserve"> and in a meaningful way</w:t>
      </w:r>
      <w:r>
        <w:t>.</w:t>
      </w:r>
    </w:p>
    <w:p w14:paraId="1BDBBB70" w14:textId="77777777" w:rsidR="00E65075" w:rsidRDefault="00E65075" w:rsidP="00E65075"/>
    <w:p w14:paraId="57B27F05" w14:textId="77777777" w:rsidR="00E65075" w:rsidRDefault="00E65075" w:rsidP="00E65075"/>
    <w:p w14:paraId="57424FE0" w14:textId="77777777" w:rsidR="0040736F" w:rsidRPr="0016049A" w:rsidRDefault="002329CF" w:rsidP="002B6836">
      <w:pPr>
        <w:pStyle w:val="Heading1"/>
      </w:pPr>
      <w:r w:rsidRPr="0016049A">
        <w:lastRenderedPageBreak/>
        <w:t>Financial implications</w:t>
      </w:r>
    </w:p>
    <w:p w14:paraId="25FF294E" w14:textId="77777777" w:rsidR="00E87F7A" w:rsidRPr="0016049A" w:rsidRDefault="0016049A" w:rsidP="005570B5">
      <w:pPr>
        <w:pStyle w:val="ListParagraph"/>
      </w:pPr>
      <w:r>
        <w:rPr>
          <w:rStyle w:val="bParagraphtextChar"/>
        </w:rPr>
        <w:t>A commitment has already been made to three years of funding for Commissioned Services and Big Ideas grants</w:t>
      </w:r>
      <w:r w:rsidR="00106D65">
        <w:rPr>
          <w:rStyle w:val="bParagraphtextChar"/>
        </w:rPr>
        <w:t xml:space="preserve"> </w:t>
      </w:r>
      <w:r w:rsidR="006B722B">
        <w:rPr>
          <w:rStyle w:val="bParagraphtextChar"/>
        </w:rPr>
        <w:t>with signed grant agreements being in place for this</w:t>
      </w:r>
      <w:r>
        <w:rPr>
          <w:rStyle w:val="bParagraphtextChar"/>
        </w:rPr>
        <w:t>.  The annual amount allocated for</w:t>
      </w:r>
      <w:r w:rsidR="00E65075">
        <w:rPr>
          <w:rStyle w:val="bParagraphtextChar"/>
        </w:rPr>
        <w:t xml:space="preserve"> small and medium grants is £84k</w:t>
      </w:r>
      <w:r>
        <w:rPr>
          <w:rStyle w:val="bParagraphtextChar"/>
        </w:rPr>
        <w:t>.</w:t>
      </w:r>
    </w:p>
    <w:p w14:paraId="48E06283" w14:textId="77777777" w:rsidR="0040736F" w:rsidRPr="004F3121" w:rsidRDefault="00DA614B" w:rsidP="004A6D2F">
      <w:pPr>
        <w:pStyle w:val="Heading1"/>
      </w:pPr>
      <w:r w:rsidRPr="004F3121">
        <w:t>Legal issues</w:t>
      </w:r>
    </w:p>
    <w:p w14:paraId="633018E0" w14:textId="6BB5E36D" w:rsidR="00E87F7A" w:rsidRPr="004F3121" w:rsidRDefault="00D258C1" w:rsidP="002B6836">
      <w:pPr>
        <w:pStyle w:val="bParagraphtext"/>
      </w:pPr>
      <w:r>
        <w:t xml:space="preserve">Signed </w:t>
      </w:r>
      <w:r w:rsidR="00366783">
        <w:t>g</w:t>
      </w:r>
      <w:r w:rsidR="006A15CB" w:rsidRPr="004F3121">
        <w:t>rant agreement contracts are in place for three years for Big Ideas grants and for</w:t>
      </w:r>
      <w:r w:rsidR="006A15CB">
        <w:t xml:space="preserve"> one year for Small and Medium grants.  </w:t>
      </w:r>
    </w:p>
    <w:p w14:paraId="473728AF" w14:textId="77777777" w:rsidR="002329CF" w:rsidRPr="001356F1" w:rsidRDefault="002329CF" w:rsidP="004A6D2F">
      <w:pPr>
        <w:pStyle w:val="Heading1"/>
      </w:pPr>
      <w:r w:rsidRPr="004F3121">
        <w:t>Level of risk</w:t>
      </w:r>
    </w:p>
    <w:p w14:paraId="2A209D37" w14:textId="699C1DF8" w:rsidR="004F3121" w:rsidRPr="00717371" w:rsidRDefault="00432B78" w:rsidP="0050321C">
      <w:pPr>
        <w:pStyle w:val="bParagraphtext"/>
      </w:pPr>
      <w:r w:rsidRPr="00717371">
        <w:t xml:space="preserve">See the risk assessment </w:t>
      </w:r>
      <w:r w:rsidR="00EE6FC3">
        <w:t>(Appendix 3</w:t>
      </w:r>
      <w:r w:rsidR="00E65075">
        <w:t>)</w:t>
      </w:r>
      <w:r w:rsidRPr="00717371">
        <w:t xml:space="preserve">.    </w:t>
      </w:r>
    </w:p>
    <w:p w14:paraId="403C0013" w14:textId="77777777" w:rsidR="002329CF" w:rsidRPr="00717371" w:rsidRDefault="002329CF" w:rsidP="0050321C">
      <w:pPr>
        <w:pStyle w:val="Heading1"/>
      </w:pPr>
      <w:r w:rsidRPr="00717371">
        <w:t xml:space="preserve">Equalities impact </w:t>
      </w:r>
    </w:p>
    <w:p w14:paraId="58DBC27A" w14:textId="349EE5C3" w:rsidR="004F3121" w:rsidRPr="00717371" w:rsidRDefault="00E65075" w:rsidP="004F3121">
      <w:pPr>
        <w:pStyle w:val="bParagraphtext"/>
      </w:pPr>
      <w:r>
        <w:t>See the Equalities I</w:t>
      </w:r>
      <w:r w:rsidR="004F3121" w:rsidRPr="00717371">
        <w:t xml:space="preserve">mpact </w:t>
      </w:r>
      <w:r>
        <w:t>A</w:t>
      </w:r>
      <w:r w:rsidR="004F3121" w:rsidRPr="00717371">
        <w:t xml:space="preserve">ssessment </w:t>
      </w:r>
      <w:r>
        <w:t>(</w:t>
      </w:r>
      <w:r w:rsidR="00EE6FC3">
        <w:t>A</w:t>
      </w:r>
      <w:r w:rsidR="004F3121" w:rsidRPr="00717371">
        <w:t xml:space="preserve">ppendix </w:t>
      </w:r>
      <w:r w:rsidR="00EE6FC3">
        <w:t>2</w:t>
      </w:r>
      <w:r>
        <w:t>)</w:t>
      </w:r>
      <w:r w:rsidR="004F3121" w:rsidRPr="00717371">
        <w:t>.</w:t>
      </w:r>
    </w:p>
    <w:p w14:paraId="01C0998A" w14:textId="77777777" w:rsidR="004F3121" w:rsidRPr="004F3121" w:rsidRDefault="004F3121" w:rsidP="004F3121">
      <w:pPr>
        <w:pStyle w:val="bParagraphtext"/>
        <w:numPr>
          <w:ilvl w:val="0"/>
          <w:numId w:val="0"/>
        </w:numPr>
        <w:ind w:left="426"/>
        <w:rPr>
          <w:sz w:val="2"/>
        </w:rPr>
      </w:pPr>
    </w:p>
    <w:p w14:paraId="54CF0718" w14:textId="77777777" w:rsidR="00FB3B71" w:rsidRDefault="00950824" w:rsidP="00FB3B71">
      <w:pPr>
        <w:pStyle w:val="bParagraphtext"/>
        <w:numPr>
          <w:ilvl w:val="0"/>
          <w:numId w:val="0"/>
        </w:numPr>
      </w:pPr>
      <w:r>
        <w:rPr>
          <w:b/>
        </w:rPr>
        <w:t>Carbon and Environmental Considerations</w:t>
      </w:r>
      <w:r w:rsidR="00FB3B71" w:rsidRPr="00FB3B71">
        <w:rPr>
          <w:b/>
        </w:rPr>
        <w:t xml:space="preserve"> </w:t>
      </w:r>
    </w:p>
    <w:p w14:paraId="254FF3E5" w14:textId="77777777" w:rsidR="002329CF" w:rsidRPr="001356F1" w:rsidRDefault="005E1809" w:rsidP="004A6D2F">
      <w:pPr>
        <w:pStyle w:val="bParagraphtext"/>
      </w:pPr>
      <w:r w:rsidRPr="005E1809">
        <w:t>The grant application process has been amended to include scoring of carbon/environmental considerations as an integral part of grant allocation decisions.</w:t>
      </w:r>
      <w:r w:rsidR="00F54E02">
        <w:t xml:space="preserve">  Considering and mitigating the environmental impact of funded activity is a compulsory criterion awarded with a weighting of 15% of the overall decision.</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4AE79A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74C705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A7D518E" w14:textId="77777777" w:rsidR="00E87F7A" w:rsidRPr="001356F1" w:rsidRDefault="00E03F86" w:rsidP="00A46E98">
            <w:r>
              <w:t xml:space="preserve">Paula </w:t>
            </w:r>
            <w:proofErr w:type="spellStart"/>
            <w:r>
              <w:t>Redway</w:t>
            </w:r>
            <w:proofErr w:type="spellEnd"/>
          </w:p>
        </w:tc>
      </w:tr>
      <w:tr w:rsidR="00DF093E" w:rsidRPr="001356F1" w14:paraId="4B1F639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47E811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42B45BE" w14:textId="77777777" w:rsidR="00E87F7A" w:rsidRPr="001356F1" w:rsidRDefault="00E03F86" w:rsidP="00A46E98">
            <w:r>
              <w:t>Culture and Community Development Manager</w:t>
            </w:r>
          </w:p>
        </w:tc>
      </w:tr>
      <w:tr w:rsidR="00DF093E" w:rsidRPr="001356F1" w14:paraId="71C4961A" w14:textId="77777777" w:rsidTr="00A46E98">
        <w:trPr>
          <w:cantSplit/>
          <w:trHeight w:val="396"/>
        </w:trPr>
        <w:tc>
          <w:tcPr>
            <w:tcW w:w="3969" w:type="dxa"/>
            <w:tcBorders>
              <w:top w:val="nil"/>
              <w:left w:val="single" w:sz="8" w:space="0" w:color="000000"/>
              <w:bottom w:val="nil"/>
              <w:right w:val="nil"/>
            </w:tcBorders>
            <w:shd w:val="clear" w:color="auto" w:fill="auto"/>
          </w:tcPr>
          <w:p w14:paraId="0E3B677A"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7FD76D5" w14:textId="77777777" w:rsidR="00E87F7A" w:rsidRPr="001356F1" w:rsidRDefault="00E03F86" w:rsidP="00A46E98">
            <w:r>
              <w:t>Community Services</w:t>
            </w:r>
          </w:p>
        </w:tc>
      </w:tr>
      <w:tr w:rsidR="00DF093E" w:rsidRPr="001356F1" w14:paraId="14883815" w14:textId="77777777" w:rsidTr="00A46E98">
        <w:trPr>
          <w:cantSplit/>
          <w:trHeight w:val="396"/>
        </w:trPr>
        <w:tc>
          <w:tcPr>
            <w:tcW w:w="3969" w:type="dxa"/>
            <w:tcBorders>
              <w:top w:val="nil"/>
              <w:left w:val="single" w:sz="8" w:space="0" w:color="000000"/>
              <w:bottom w:val="nil"/>
              <w:right w:val="nil"/>
            </w:tcBorders>
            <w:shd w:val="clear" w:color="auto" w:fill="auto"/>
          </w:tcPr>
          <w:p w14:paraId="1DBF63A6"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25EA90D" w14:textId="77777777" w:rsidR="00E87F7A" w:rsidRPr="001356F1" w:rsidRDefault="00E87F7A" w:rsidP="00E03F86">
            <w:r w:rsidRPr="001356F1">
              <w:t xml:space="preserve">01865 </w:t>
            </w:r>
            <w:r w:rsidR="00E03F86">
              <w:t>252780</w:t>
            </w:r>
            <w:r w:rsidRPr="001356F1">
              <w:t xml:space="preserve"> </w:t>
            </w:r>
          </w:p>
        </w:tc>
      </w:tr>
      <w:tr w:rsidR="005570B5" w:rsidRPr="001356F1" w14:paraId="5C2DF50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8DC47B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5B8C36D" w14:textId="77777777" w:rsidR="00E87F7A" w:rsidRPr="001356F1" w:rsidRDefault="00ED64DC" w:rsidP="00A46E98">
            <w:pPr>
              <w:rPr>
                <w:rStyle w:val="Hyperlink"/>
                <w:color w:val="000000"/>
              </w:rPr>
            </w:pPr>
            <w:hyperlink r:id="rId14" w:history="1">
              <w:r w:rsidR="00E03F86" w:rsidRPr="00C56104">
                <w:rPr>
                  <w:rStyle w:val="Hyperlink"/>
                </w:rPr>
                <w:t>predway@oxford.gov.uk</w:t>
              </w:r>
            </w:hyperlink>
          </w:p>
        </w:tc>
      </w:tr>
    </w:tbl>
    <w:p w14:paraId="6A1EE65C" w14:textId="77777777" w:rsidR="00433B96" w:rsidRPr="001356F1" w:rsidRDefault="00433B96" w:rsidP="004A6D2F"/>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9422CBF" w14:textId="77777777" w:rsidTr="00EE6FC3">
        <w:tc>
          <w:tcPr>
            <w:tcW w:w="8931" w:type="dxa"/>
            <w:tcBorders>
              <w:top w:val="single" w:sz="4" w:space="0" w:color="auto"/>
              <w:left w:val="single" w:sz="4" w:space="0" w:color="auto"/>
              <w:bottom w:val="single" w:sz="8" w:space="0" w:color="000000"/>
              <w:right w:val="single" w:sz="4" w:space="0" w:color="auto"/>
            </w:tcBorders>
            <w:shd w:val="clear" w:color="auto" w:fill="auto"/>
          </w:tcPr>
          <w:p w14:paraId="3E78542E"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0082DE62" w14:textId="77777777" w:rsidR="004456DD" w:rsidRPr="009E51FC" w:rsidRDefault="004456DD" w:rsidP="00EE6FC3"/>
    <w:sectPr w:rsidR="004456DD" w:rsidRPr="009E51FC" w:rsidSect="002B6836">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22F24" w14:textId="77777777" w:rsidR="00992E01" w:rsidRDefault="00992E01" w:rsidP="004A6D2F">
      <w:r>
        <w:separator/>
      </w:r>
    </w:p>
  </w:endnote>
  <w:endnote w:type="continuationSeparator" w:id="0">
    <w:p w14:paraId="267F83AF" w14:textId="77777777" w:rsidR="00992E01" w:rsidRDefault="00992E0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C01C" w14:textId="77777777" w:rsidR="00364FAD" w:rsidRDefault="00364FAD" w:rsidP="004A6D2F">
    <w:pPr>
      <w:pStyle w:val="Footer"/>
    </w:pPr>
    <w:r>
      <w:t>Do not use a footer or page numbers.</w:t>
    </w:r>
  </w:p>
  <w:p w14:paraId="662599F5" w14:textId="77777777" w:rsidR="00364FAD" w:rsidRDefault="00364FAD" w:rsidP="004A6D2F">
    <w:pPr>
      <w:pStyle w:val="Footer"/>
    </w:pPr>
  </w:p>
  <w:p w14:paraId="4B90372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FD5D" w14:textId="3FE9DCB4" w:rsidR="00A701B5" w:rsidRDefault="00A701B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1F050" w14:textId="77777777" w:rsidR="00992E01" w:rsidRDefault="00992E01" w:rsidP="004A6D2F">
      <w:r>
        <w:separator/>
      </w:r>
    </w:p>
  </w:footnote>
  <w:footnote w:type="continuationSeparator" w:id="0">
    <w:p w14:paraId="21B08ADB" w14:textId="77777777" w:rsidR="00992E01" w:rsidRDefault="00992E0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4837" w14:textId="77777777" w:rsidR="00D5547E" w:rsidRDefault="00C05260" w:rsidP="00D5547E">
    <w:pPr>
      <w:pStyle w:val="Header"/>
      <w:jc w:val="right"/>
    </w:pPr>
    <w:r>
      <w:rPr>
        <w:noProof/>
      </w:rPr>
      <w:drawing>
        <wp:inline distT="0" distB="0" distL="0" distR="0" wp14:anchorId="5F8C2C91" wp14:editId="1F9690F7">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C12639"/>
    <w:multiLevelType w:val="hybridMultilevel"/>
    <w:tmpl w:val="7422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B494384"/>
    <w:multiLevelType w:val="hybridMultilevel"/>
    <w:tmpl w:val="41B41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3E1532"/>
    <w:multiLevelType w:val="hybridMultilevel"/>
    <w:tmpl w:val="B63229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80B2AFF"/>
    <w:multiLevelType w:val="hybridMultilevel"/>
    <w:tmpl w:val="C7E89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D82FBB"/>
    <w:multiLevelType w:val="hybridMultilevel"/>
    <w:tmpl w:val="8870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EE66B7"/>
    <w:multiLevelType w:val="hybridMultilevel"/>
    <w:tmpl w:val="C49C0A6C"/>
    <w:lvl w:ilvl="0" w:tplc="06D6A0F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798365C6"/>
    <w:multiLevelType w:val="multilevel"/>
    <w:tmpl w:val="E67CE66C"/>
    <w:numStyleLink w:val="StyleNumberedLeft0cmHanging075cm"/>
  </w:abstractNum>
  <w:num w:numId="1">
    <w:abstractNumId w:val="30"/>
  </w:num>
  <w:num w:numId="2">
    <w:abstractNumId w:val="35"/>
  </w:num>
  <w:num w:numId="3">
    <w:abstractNumId w:val="27"/>
  </w:num>
  <w:num w:numId="4">
    <w:abstractNumId w:val="20"/>
  </w:num>
  <w:num w:numId="5">
    <w:abstractNumId w:val="32"/>
  </w:num>
  <w:num w:numId="6">
    <w:abstractNumId w:val="36"/>
  </w:num>
  <w:num w:numId="7">
    <w:abstractNumId w:val="26"/>
  </w:num>
  <w:num w:numId="8">
    <w:abstractNumId w:val="23"/>
  </w:num>
  <w:num w:numId="9">
    <w:abstractNumId w:val="13"/>
  </w:num>
  <w:num w:numId="10">
    <w:abstractNumId w:val="16"/>
  </w:num>
  <w:num w:numId="11">
    <w:abstractNumId w:val="29"/>
  </w:num>
  <w:num w:numId="12">
    <w:abstractNumId w:val="28"/>
  </w:num>
  <w:num w:numId="13">
    <w:abstractNumId w:val="10"/>
  </w:num>
  <w:num w:numId="14">
    <w:abstractNumId w:val="38"/>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4"/>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25"/>
  </w:num>
  <w:num w:numId="36">
    <w:abstractNumId w:val="21"/>
  </w:num>
  <w:num w:numId="37">
    <w:abstractNumId w:val="15"/>
  </w:num>
  <w:num w:numId="38">
    <w:abstractNumId w:val="37"/>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BGIDCyNDC1NDAzMDAyUdpeDU4uLM/DyQAsNaAOsJlKIsAAAA"/>
  </w:docVars>
  <w:rsids>
    <w:rsidRoot w:val="00FB3B71"/>
    <w:rsid w:val="000117D4"/>
    <w:rsid w:val="000314D7"/>
    <w:rsid w:val="00034054"/>
    <w:rsid w:val="00035D4D"/>
    <w:rsid w:val="00045F8B"/>
    <w:rsid w:val="00046D2B"/>
    <w:rsid w:val="00056263"/>
    <w:rsid w:val="00064D8A"/>
    <w:rsid w:val="00064F82"/>
    <w:rsid w:val="00066510"/>
    <w:rsid w:val="00077523"/>
    <w:rsid w:val="00092072"/>
    <w:rsid w:val="00095239"/>
    <w:rsid w:val="000B1DFC"/>
    <w:rsid w:val="000C089F"/>
    <w:rsid w:val="000C3928"/>
    <w:rsid w:val="000C5E8E"/>
    <w:rsid w:val="000F4751"/>
    <w:rsid w:val="0010524C"/>
    <w:rsid w:val="00106694"/>
    <w:rsid w:val="00106D65"/>
    <w:rsid w:val="00111FB1"/>
    <w:rsid w:val="00113418"/>
    <w:rsid w:val="00115BD0"/>
    <w:rsid w:val="001313DF"/>
    <w:rsid w:val="001356F1"/>
    <w:rsid w:val="00136994"/>
    <w:rsid w:val="0014038F"/>
    <w:rsid w:val="0014128E"/>
    <w:rsid w:val="00151888"/>
    <w:rsid w:val="0016049A"/>
    <w:rsid w:val="00170A2D"/>
    <w:rsid w:val="001752D7"/>
    <w:rsid w:val="001808BC"/>
    <w:rsid w:val="00182B81"/>
    <w:rsid w:val="0018619D"/>
    <w:rsid w:val="001A011E"/>
    <w:rsid w:val="001A066A"/>
    <w:rsid w:val="001A13E6"/>
    <w:rsid w:val="001A5731"/>
    <w:rsid w:val="001B42C3"/>
    <w:rsid w:val="001C5D5E"/>
    <w:rsid w:val="001D678D"/>
    <w:rsid w:val="001E03F8"/>
    <w:rsid w:val="001E1678"/>
    <w:rsid w:val="001E3376"/>
    <w:rsid w:val="001F65FF"/>
    <w:rsid w:val="002069B3"/>
    <w:rsid w:val="00211D46"/>
    <w:rsid w:val="002329CF"/>
    <w:rsid w:val="00232F5B"/>
    <w:rsid w:val="0024744E"/>
    <w:rsid w:val="00247C29"/>
    <w:rsid w:val="00260467"/>
    <w:rsid w:val="00263EA3"/>
    <w:rsid w:val="002806BB"/>
    <w:rsid w:val="00284F85"/>
    <w:rsid w:val="002870C3"/>
    <w:rsid w:val="00290915"/>
    <w:rsid w:val="002A22E2"/>
    <w:rsid w:val="002B6836"/>
    <w:rsid w:val="002B6DE8"/>
    <w:rsid w:val="002C64F7"/>
    <w:rsid w:val="002F41F2"/>
    <w:rsid w:val="00301BF3"/>
    <w:rsid w:val="0030208D"/>
    <w:rsid w:val="00312267"/>
    <w:rsid w:val="00321976"/>
    <w:rsid w:val="00323418"/>
    <w:rsid w:val="003357BF"/>
    <w:rsid w:val="003629C0"/>
    <w:rsid w:val="00364FAD"/>
    <w:rsid w:val="00366783"/>
    <w:rsid w:val="0036738F"/>
    <w:rsid w:val="0036759C"/>
    <w:rsid w:val="00367AE5"/>
    <w:rsid w:val="00367C2D"/>
    <w:rsid w:val="00367D71"/>
    <w:rsid w:val="003715F6"/>
    <w:rsid w:val="00372C4E"/>
    <w:rsid w:val="0038150A"/>
    <w:rsid w:val="00385B13"/>
    <w:rsid w:val="003967BE"/>
    <w:rsid w:val="003A332E"/>
    <w:rsid w:val="003A3A7A"/>
    <w:rsid w:val="003B6E75"/>
    <w:rsid w:val="003B7DA1"/>
    <w:rsid w:val="003D0379"/>
    <w:rsid w:val="003D1979"/>
    <w:rsid w:val="003D2574"/>
    <w:rsid w:val="003D4C59"/>
    <w:rsid w:val="003D50C9"/>
    <w:rsid w:val="003E2563"/>
    <w:rsid w:val="003F4267"/>
    <w:rsid w:val="0040342C"/>
    <w:rsid w:val="00404032"/>
    <w:rsid w:val="004070F0"/>
    <w:rsid w:val="0040736F"/>
    <w:rsid w:val="00412C1F"/>
    <w:rsid w:val="00421CB2"/>
    <w:rsid w:val="004243F3"/>
    <w:rsid w:val="004268B9"/>
    <w:rsid w:val="00432B78"/>
    <w:rsid w:val="00433B96"/>
    <w:rsid w:val="004358F6"/>
    <w:rsid w:val="004440F1"/>
    <w:rsid w:val="004456DD"/>
    <w:rsid w:val="00446CDF"/>
    <w:rsid w:val="004521B7"/>
    <w:rsid w:val="004548E0"/>
    <w:rsid w:val="00462AB5"/>
    <w:rsid w:val="00465EAF"/>
    <w:rsid w:val="0047004A"/>
    <w:rsid w:val="004738C5"/>
    <w:rsid w:val="0047737B"/>
    <w:rsid w:val="00477650"/>
    <w:rsid w:val="00491046"/>
    <w:rsid w:val="00496078"/>
    <w:rsid w:val="004A02F4"/>
    <w:rsid w:val="004A2AC7"/>
    <w:rsid w:val="004A6D2F"/>
    <w:rsid w:val="004B11AE"/>
    <w:rsid w:val="004B47E7"/>
    <w:rsid w:val="004B65CA"/>
    <w:rsid w:val="004C2887"/>
    <w:rsid w:val="004D2626"/>
    <w:rsid w:val="004D6E26"/>
    <w:rsid w:val="004D77D3"/>
    <w:rsid w:val="004E2959"/>
    <w:rsid w:val="004E52B5"/>
    <w:rsid w:val="004F20EF"/>
    <w:rsid w:val="004F3121"/>
    <w:rsid w:val="0050321C"/>
    <w:rsid w:val="00507ECC"/>
    <w:rsid w:val="00510897"/>
    <w:rsid w:val="00512A10"/>
    <w:rsid w:val="0054712D"/>
    <w:rsid w:val="00547EF6"/>
    <w:rsid w:val="005570B5"/>
    <w:rsid w:val="00566B86"/>
    <w:rsid w:val="00567E18"/>
    <w:rsid w:val="005742EA"/>
    <w:rsid w:val="00575F5F"/>
    <w:rsid w:val="005803B3"/>
    <w:rsid w:val="005810F3"/>
    <w:rsid w:val="00581805"/>
    <w:rsid w:val="00584C1E"/>
    <w:rsid w:val="00585F76"/>
    <w:rsid w:val="005947FA"/>
    <w:rsid w:val="005A1976"/>
    <w:rsid w:val="005A34E4"/>
    <w:rsid w:val="005A6610"/>
    <w:rsid w:val="005A7C0F"/>
    <w:rsid w:val="005B17F2"/>
    <w:rsid w:val="005B2AA7"/>
    <w:rsid w:val="005B7FB0"/>
    <w:rsid w:val="005C35A5"/>
    <w:rsid w:val="005C577C"/>
    <w:rsid w:val="005C65B6"/>
    <w:rsid w:val="005D0621"/>
    <w:rsid w:val="005D1E27"/>
    <w:rsid w:val="005D2A3E"/>
    <w:rsid w:val="005E022E"/>
    <w:rsid w:val="005E1809"/>
    <w:rsid w:val="005E5215"/>
    <w:rsid w:val="005F7F7E"/>
    <w:rsid w:val="00612C5A"/>
    <w:rsid w:val="00614693"/>
    <w:rsid w:val="00623C2F"/>
    <w:rsid w:val="00633578"/>
    <w:rsid w:val="00637068"/>
    <w:rsid w:val="00650811"/>
    <w:rsid w:val="0065142E"/>
    <w:rsid w:val="00661D3E"/>
    <w:rsid w:val="00692627"/>
    <w:rsid w:val="006969E7"/>
    <w:rsid w:val="006A15CB"/>
    <w:rsid w:val="006A3643"/>
    <w:rsid w:val="006A42B0"/>
    <w:rsid w:val="006B10C2"/>
    <w:rsid w:val="006B722B"/>
    <w:rsid w:val="006C2A29"/>
    <w:rsid w:val="006C64CF"/>
    <w:rsid w:val="006D142F"/>
    <w:rsid w:val="006D17B1"/>
    <w:rsid w:val="006D4752"/>
    <w:rsid w:val="006D708A"/>
    <w:rsid w:val="006E14C1"/>
    <w:rsid w:val="006F0292"/>
    <w:rsid w:val="006F27FA"/>
    <w:rsid w:val="006F416B"/>
    <w:rsid w:val="006F519B"/>
    <w:rsid w:val="006F7293"/>
    <w:rsid w:val="007064E1"/>
    <w:rsid w:val="00713675"/>
    <w:rsid w:val="00715823"/>
    <w:rsid w:val="00717371"/>
    <w:rsid w:val="007253EF"/>
    <w:rsid w:val="00731F58"/>
    <w:rsid w:val="00737B93"/>
    <w:rsid w:val="00741C91"/>
    <w:rsid w:val="00745BF0"/>
    <w:rsid w:val="00751EA3"/>
    <w:rsid w:val="007615FE"/>
    <w:rsid w:val="0076655C"/>
    <w:rsid w:val="007742DC"/>
    <w:rsid w:val="00791437"/>
    <w:rsid w:val="00792115"/>
    <w:rsid w:val="007A1373"/>
    <w:rsid w:val="007B0C2C"/>
    <w:rsid w:val="007B278E"/>
    <w:rsid w:val="007B46F8"/>
    <w:rsid w:val="007B5CA2"/>
    <w:rsid w:val="007C5C23"/>
    <w:rsid w:val="007E2A26"/>
    <w:rsid w:val="007F2348"/>
    <w:rsid w:val="007F4757"/>
    <w:rsid w:val="007F49D1"/>
    <w:rsid w:val="00803F07"/>
    <w:rsid w:val="0080749A"/>
    <w:rsid w:val="00821FB8"/>
    <w:rsid w:val="00822ACD"/>
    <w:rsid w:val="00852291"/>
    <w:rsid w:val="00855C66"/>
    <w:rsid w:val="00871EE4"/>
    <w:rsid w:val="0088357D"/>
    <w:rsid w:val="008954DF"/>
    <w:rsid w:val="008A43AE"/>
    <w:rsid w:val="008B293F"/>
    <w:rsid w:val="008B7371"/>
    <w:rsid w:val="008D37BD"/>
    <w:rsid w:val="008D3DDB"/>
    <w:rsid w:val="008D7DF1"/>
    <w:rsid w:val="008F3B04"/>
    <w:rsid w:val="008F573F"/>
    <w:rsid w:val="009034EC"/>
    <w:rsid w:val="00913702"/>
    <w:rsid w:val="00922DE8"/>
    <w:rsid w:val="0093067A"/>
    <w:rsid w:val="009322B1"/>
    <w:rsid w:val="00941C60"/>
    <w:rsid w:val="00941FD1"/>
    <w:rsid w:val="00950824"/>
    <w:rsid w:val="00961121"/>
    <w:rsid w:val="00966D42"/>
    <w:rsid w:val="00971689"/>
    <w:rsid w:val="0097170F"/>
    <w:rsid w:val="00973E90"/>
    <w:rsid w:val="00975B07"/>
    <w:rsid w:val="00980B4A"/>
    <w:rsid w:val="00992E01"/>
    <w:rsid w:val="009B3E8A"/>
    <w:rsid w:val="009B5949"/>
    <w:rsid w:val="009B7C2C"/>
    <w:rsid w:val="009C498B"/>
    <w:rsid w:val="009E34F7"/>
    <w:rsid w:val="009E3D0A"/>
    <w:rsid w:val="009E51FC"/>
    <w:rsid w:val="009F1D28"/>
    <w:rsid w:val="009F7618"/>
    <w:rsid w:val="00A04D23"/>
    <w:rsid w:val="00A06766"/>
    <w:rsid w:val="00A13765"/>
    <w:rsid w:val="00A21B12"/>
    <w:rsid w:val="00A23F80"/>
    <w:rsid w:val="00A46E98"/>
    <w:rsid w:val="00A6352B"/>
    <w:rsid w:val="00A664A7"/>
    <w:rsid w:val="00A701B5"/>
    <w:rsid w:val="00A714BB"/>
    <w:rsid w:val="00A71F04"/>
    <w:rsid w:val="00A77147"/>
    <w:rsid w:val="00A77C28"/>
    <w:rsid w:val="00A92D8F"/>
    <w:rsid w:val="00AB0C8B"/>
    <w:rsid w:val="00AB2988"/>
    <w:rsid w:val="00AB4845"/>
    <w:rsid w:val="00AB7999"/>
    <w:rsid w:val="00AD3292"/>
    <w:rsid w:val="00AD6235"/>
    <w:rsid w:val="00AE1684"/>
    <w:rsid w:val="00AE1957"/>
    <w:rsid w:val="00AE7AF0"/>
    <w:rsid w:val="00B04F0D"/>
    <w:rsid w:val="00B1243F"/>
    <w:rsid w:val="00B30709"/>
    <w:rsid w:val="00B30827"/>
    <w:rsid w:val="00B500CA"/>
    <w:rsid w:val="00B86314"/>
    <w:rsid w:val="00BA1C2E"/>
    <w:rsid w:val="00BA7EDB"/>
    <w:rsid w:val="00BC200B"/>
    <w:rsid w:val="00BC30A0"/>
    <w:rsid w:val="00BC4756"/>
    <w:rsid w:val="00BC69A4"/>
    <w:rsid w:val="00BE0680"/>
    <w:rsid w:val="00BE305F"/>
    <w:rsid w:val="00BE7BA3"/>
    <w:rsid w:val="00BF5682"/>
    <w:rsid w:val="00BF7B09"/>
    <w:rsid w:val="00C05260"/>
    <w:rsid w:val="00C076B9"/>
    <w:rsid w:val="00C11588"/>
    <w:rsid w:val="00C20A95"/>
    <w:rsid w:val="00C2692F"/>
    <w:rsid w:val="00C3207C"/>
    <w:rsid w:val="00C400E1"/>
    <w:rsid w:val="00C41187"/>
    <w:rsid w:val="00C62F7E"/>
    <w:rsid w:val="00C63C31"/>
    <w:rsid w:val="00C757A0"/>
    <w:rsid w:val="00C760DE"/>
    <w:rsid w:val="00C816F1"/>
    <w:rsid w:val="00C82630"/>
    <w:rsid w:val="00C85B4E"/>
    <w:rsid w:val="00C87F20"/>
    <w:rsid w:val="00C907F7"/>
    <w:rsid w:val="00C94F15"/>
    <w:rsid w:val="00CA2103"/>
    <w:rsid w:val="00CA71F5"/>
    <w:rsid w:val="00CB21E8"/>
    <w:rsid w:val="00CB6B99"/>
    <w:rsid w:val="00CE4C87"/>
    <w:rsid w:val="00CE544A"/>
    <w:rsid w:val="00CF0D48"/>
    <w:rsid w:val="00D11E1C"/>
    <w:rsid w:val="00D15ECD"/>
    <w:rsid w:val="00D160B0"/>
    <w:rsid w:val="00D17F94"/>
    <w:rsid w:val="00D223FC"/>
    <w:rsid w:val="00D258C1"/>
    <w:rsid w:val="00D26D1E"/>
    <w:rsid w:val="00D3098B"/>
    <w:rsid w:val="00D34368"/>
    <w:rsid w:val="00D40609"/>
    <w:rsid w:val="00D474CF"/>
    <w:rsid w:val="00D5547E"/>
    <w:rsid w:val="00D860E2"/>
    <w:rsid w:val="00D869A1"/>
    <w:rsid w:val="00D946F2"/>
    <w:rsid w:val="00D952C2"/>
    <w:rsid w:val="00DA413F"/>
    <w:rsid w:val="00DA4584"/>
    <w:rsid w:val="00DA5432"/>
    <w:rsid w:val="00DA614B"/>
    <w:rsid w:val="00DB7AD7"/>
    <w:rsid w:val="00DC3060"/>
    <w:rsid w:val="00DE0FB2"/>
    <w:rsid w:val="00DE3D15"/>
    <w:rsid w:val="00DF093E"/>
    <w:rsid w:val="00DF1CE5"/>
    <w:rsid w:val="00DF72BE"/>
    <w:rsid w:val="00E01F42"/>
    <w:rsid w:val="00E03F86"/>
    <w:rsid w:val="00E114AC"/>
    <w:rsid w:val="00E206D6"/>
    <w:rsid w:val="00E22ABE"/>
    <w:rsid w:val="00E2347B"/>
    <w:rsid w:val="00E30DC8"/>
    <w:rsid w:val="00E3366E"/>
    <w:rsid w:val="00E35CB8"/>
    <w:rsid w:val="00E52086"/>
    <w:rsid w:val="00E543A6"/>
    <w:rsid w:val="00E60479"/>
    <w:rsid w:val="00E61D73"/>
    <w:rsid w:val="00E65075"/>
    <w:rsid w:val="00E72418"/>
    <w:rsid w:val="00E73684"/>
    <w:rsid w:val="00E818D6"/>
    <w:rsid w:val="00E87F7A"/>
    <w:rsid w:val="00E94B3E"/>
    <w:rsid w:val="00E96BD7"/>
    <w:rsid w:val="00EA0DB1"/>
    <w:rsid w:val="00EA0EE9"/>
    <w:rsid w:val="00EA1091"/>
    <w:rsid w:val="00EC1A23"/>
    <w:rsid w:val="00EC5F52"/>
    <w:rsid w:val="00ED52CA"/>
    <w:rsid w:val="00ED5860"/>
    <w:rsid w:val="00ED64DC"/>
    <w:rsid w:val="00EE35C9"/>
    <w:rsid w:val="00EE6FC3"/>
    <w:rsid w:val="00F05ECA"/>
    <w:rsid w:val="00F20A73"/>
    <w:rsid w:val="00F26E21"/>
    <w:rsid w:val="00F325C4"/>
    <w:rsid w:val="00F3566E"/>
    <w:rsid w:val="00F375FB"/>
    <w:rsid w:val="00F41AC1"/>
    <w:rsid w:val="00F4367A"/>
    <w:rsid w:val="00F445B1"/>
    <w:rsid w:val="00F45CD4"/>
    <w:rsid w:val="00F54E02"/>
    <w:rsid w:val="00F66DCA"/>
    <w:rsid w:val="00F74F53"/>
    <w:rsid w:val="00F7606D"/>
    <w:rsid w:val="00F81670"/>
    <w:rsid w:val="00F82024"/>
    <w:rsid w:val="00F865A3"/>
    <w:rsid w:val="00F957A0"/>
    <w:rsid w:val="00F95BC9"/>
    <w:rsid w:val="00FA624C"/>
    <w:rsid w:val="00FB3B71"/>
    <w:rsid w:val="00FD0FAC"/>
    <w:rsid w:val="00FD1DFA"/>
    <w:rsid w:val="00FD2AB2"/>
    <w:rsid w:val="00FD4966"/>
    <w:rsid w:val="00FD5582"/>
    <w:rsid w:val="00FE57DC"/>
    <w:rsid w:val="00FE60A6"/>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AD528C"/>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semiHidden/>
    <w:unhideWhenUsed/>
    <w:rsid w:val="00E65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4840615">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8051408">
      <w:bodyDiv w:val="1"/>
      <w:marLeft w:val="0"/>
      <w:marRight w:val="0"/>
      <w:marTop w:val="0"/>
      <w:marBottom w:val="0"/>
      <w:divBdr>
        <w:top w:val="none" w:sz="0" w:space="0" w:color="auto"/>
        <w:left w:val="none" w:sz="0" w:space="0" w:color="auto"/>
        <w:bottom w:val="none" w:sz="0" w:space="0" w:color="auto"/>
        <w:right w:val="none" w:sz="0" w:space="0" w:color="auto"/>
      </w:divBdr>
    </w:div>
    <w:div w:id="2032216159">
      <w:bodyDiv w:val="1"/>
      <w:marLeft w:val="0"/>
      <w:marRight w:val="0"/>
      <w:marTop w:val="0"/>
      <w:marBottom w:val="0"/>
      <w:divBdr>
        <w:top w:val="none" w:sz="0" w:space="0" w:color="auto"/>
        <w:left w:val="none" w:sz="0" w:space="0" w:color="auto"/>
        <w:bottom w:val="none" w:sz="0" w:space="0" w:color="auto"/>
        <w:right w:val="none" w:sz="0" w:space="0" w:color="auto"/>
      </w:divBdr>
    </w:div>
    <w:div w:id="21036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info/20044/grants/1496/oxford_community_impact_fund/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gov.uk/info/20044/grants/1496/oxford_community_impact_fund/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info/20044/grants/1496/oxford_community_impact_fund/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dway@ox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0" ma:contentTypeDescription="Create a new document." ma:contentTypeScope="" ma:versionID="38b1035aa20c7e25a6a249c2c55016cd">
  <xsd:schema xmlns:xsd="http://www.w3.org/2001/XMLSchema" xmlns:xs="http://www.w3.org/2001/XMLSchema" xmlns:p="http://schemas.microsoft.com/office/2006/metadata/properties" xmlns:ns2="fdb8f1d2-729e-4e17-b922-d1876d49c6d9" targetNamespace="http://schemas.microsoft.com/office/2006/metadata/properties" ma:root="true" ma:fieldsID="37d5e34c32c15ea9f15eeef0f498b86d"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17C4-9508-4854-AF87-074B9DFE8D91}">
  <ds:schemaRefs>
    <ds:schemaRef ds:uri="http://purl.org/dc/terms/"/>
    <ds:schemaRef ds:uri="fdb8f1d2-729e-4e17-b922-d1876d49c6d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D007B1-9F27-458A-B257-76895038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4.xml><?xml version="1.0" encoding="utf-8"?>
<ds:datastoreItem xmlns:ds="http://schemas.openxmlformats.org/officeDocument/2006/customXml" ds:itemID="{CDF68541-6F01-4E15-80DD-903B2B1A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DONEY Richard</cp:lastModifiedBy>
  <cp:revision>3</cp:revision>
  <cp:lastPrinted>2015-07-03T13:50:00Z</cp:lastPrinted>
  <dcterms:created xsi:type="dcterms:W3CDTF">2022-11-25T14:50:00Z</dcterms:created>
  <dcterms:modified xsi:type="dcterms:W3CDTF">2022-11-25T15:37:00Z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